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F4E" w:rsidRDefault="001C7F4E" w:rsidP="001C7F4E">
      <w:pPr>
        <w:jc w:val="center"/>
        <w:rPr>
          <w:rFonts w:ascii="Arial" w:hAnsi="Arial" w:cs="Arial"/>
          <w:b/>
          <w:sz w:val="24"/>
          <w:szCs w:val="24"/>
        </w:rPr>
      </w:pPr>
      <w:r>
        <w:rPr>
          <w:rFonts w:ascii="Arial" w:hAnsi="Arial" w:cs="Arial"/>
          <w:b/>
          <w:sz w:val="24"/>
          <w:szCs w:val="24"/>
        </w:rPr>
        <w:t>Corporate Governance and Market Cap Destruction</w:t>
      </w:r>
    </w:p>
    <w:p w:rsidR="001C7F4E" w:rsidRDefault="001C7F4E" w:rsidP="001C7F4E">
      <w:pPr>
        <w:jc w:val="center"/>
        <w:rPr>
          <w:rFonts w:ascii="Arial" w:hAnsi="Arial" w:cs="Arial"/>
          <w:b/>
          <w:sz w:val="24"/>
          <w:szCs w:val="24"/>
        </w:rPr>
      </w:pPr>
      <w:r>
        <w:rPr>
          <w:rFonts w:ascii="Arial" w:hAnsi="Arial" w:cs="Arial"/>
          <w:b/>
          <w:sz w:val="24"/>
          <w:szCs w:val="24"/>
        </w:rPr>
        <w:t>Hugh Grove and Mac Clouse</w:t>
      </w:r>
    </w:p>
    <w:p w:rsidR="001C7F4E" w:rsidRDefault="001C7F4E" w:rsidP="001C7F4E">
      <w:pPr>
        <w:jc w:val="center"/>
        <w:rPr>
          <w:rFonts w:ascii="Arial" w:hAnsi="Arial" w:cs="Arial"/>
          <w:b/>
          <w:sz w:val="24"/>
          <w:szCs w:val="24"/>
        </w:rPr>
      </w:pPr>
      <w:r>
        <w:rPr>
          <w:rFonts w:ascii="Arial" w:hAnsi="Arial" w:cs="Arial"/>
          <w:b/>
          <w:sz w:val="24"/>
          <w:szCs w:val="24"/>
        </w:rPr>
        <w:t>Accounting and Finance Professors</w:t>
      </w:r>
    </w:p>
    <w:p w:rsidR="001C7F4E" w:rsidRDefault="001C7F4E" w:rsidP="001C7F4E">
      <w:pPr>
        <w:jc w:val="center"/>
        <w:rPr>
          <w:rFonts w:ascii="Arial" w:hAnsi="Arial" w:cs="Arial"/>
          <w:b/>
          <w:sz w:val="24"/>
          <w:szCs w:val="24"/>
        </w:rPr>
      </w:pPr>
      <w:r>
        <w:rPr>
          <w:rFonts w:ascii="Arial" w:hAnsi="Arial" w:cs="Arial"/>
          <w:b/>
          <w:sz w:val="24"/>
          <w:szCs w:val="24"/>
        </w:rPr>
        <w:t>Daniels College of Business</w:t>
      </w:r>
    </w:p>
    <w:p w:rsidR="001C7F4E" w:rsidRDefault="001C7F4E" w:rsidP="001C7F4E">
      <w:pPr>
        <w:jc w:val="center"/>
        <w:rPr>
          <w:rFonts w:ascii="Arial" w:hAnsi="Arial" w:cs="Arial"/>
          <w:b/>
          <w:sz w:val="24"/>
          <w:szCs w:val="24"/>
        </w:rPr>
      </w:pPr>
      <w:r>
        <w:rPr>
          <w:rFonts w:ascii="Arial" w:hAnsi="Arial" w:cs="Arial"/>
          <w:b/>
          <w:sz w:val="24"/>
          <w:szCs w:val="24"/>
        </w:rPr>
        <w:t>University of Denver</w:t>
      </w:r>
    </w:p>
    <w:p w:rsidR="00EF33CA" w:rsidRDefault="00EF33CA" w:rsidP="001C7F4E">
      <w:pPr>
        <w:jc w:val="center"/>
        <w:rPr>
          <w:rFonts w:ascii="Arial" w:hAnsi="Arial" w:cs="Arial"/>
          <w:b/>
          <w:sz w:val="24"/>
          <w:szCs w:val="24"/>
        </w:rPr>
      </w:pPr>
    </w:p>
    <w:p w:rsidR="00035E07" w:rsidRPr="00035E07" w:rsidRDefault="00EF33CA" w:rsidP="00035E07">
      <w:pPr>
        <w:spacing w:after="0" w:line="240" w:lineRule="auto"/>
        <w:jc w:val="center"/>
        <w:rPr>
          <w:rFonts w:ascii="Arial" w:hAnsi="Arial" w:cs="Arial"/>
          <w:b/>
          <w:sz w:val="24"/>
          <w:szCs w:val="24"/>
        </w:rPr>
      </w:pPr>
      <w:r>
        <w:rPr>
          <w:rFonts w:ascii="Arial" w:hAnsi="Arial" w:cs="Arial"/>
          <w:b/>
          <w:sz w:val="24"/>
          <w:szCs w:val="24"/>
        </w:rPr>
        <w:t>Introduction</w:t>
      </w:r>
    </w:p>
    <w:p w:rsidR="00035E07" w:rsidRPr="00035E07" w:rsidRDefault="00035E07" w:rsidP="00035E07">
      <w:pPr>
        <w:jc w:val="center"/>
        <w:rPr>
          <w:rFonts w:ascii="Arial" w:hAnsi="Arial" w:cs="Arial"/>
          <w:b/>
          <w:sz w:val="24"/>
          <w:szCs w:val="24"/>
        </w:rPr>
      </w:pPr>
    </w:p>
    <w:p w:rsidR="00035E07" w:rsidRPr="00035E07" w:rsidRDefault="005F5A89" w:rsidP="005F5A89">
      <w:pPr>
        <w:ind w:firstLine="720"/>
        <w:rPr>
          <w:rFonts w:ascii="Arial" w:hAnsi="Arial" w:cs="Arial"/>
          <w:sz w:val="24"/>
          <w:szCs w:val="24"/>
        </w:rPr>
      </w:pPr>
      <w:r>
        <w:rPr>
          <w:rFonts w:ascii="Arial" w:hAnsi="Arial" w:cs="Arial"/>
          <w:sz w:val="24"/>
          <w:szCs w:val="24"/>
        </w:rPr>
        <w:t xml:space="preserve">One </w:t>
      </w:r>
      <w:r w:rsidR="00C15432">
        <w:rPr>
          <w:rFonts w:ascii="Arial" w:hAnsi="Arial" w:cs="Arial"/>
          <w:sz w:val="24"/>
          <w:szCs w:val="24"/>
        </w:rPr>
        <w:t xml:space="preserve">key </w:t>
      </w:r>
      <w:r>
        <w:rPr>
          <w:rFonts w:ascii="Arial" w:hAnsi="Arial" w:cs="Arial"/>
          <w:sz w:val="24"/>
          <w:szCs w:val="24"/>
        </w:rPr>
        <w:t>report</w:t>
      </w:r>
      <w:r w:rsidR="00C15432">
        <w:rPr>
          <w:rFonts w:ascii="Arial" w:hAnsi="Arial" w:cs="Arial"/>
          <w:sz w:val="24"/>
          <w:szCs w:val="24"/>
        </w:rPr>
        <w:t xml:space="preserve"> </w:t>
      </w:r>
      <w:r>
        <w:rPr>
          <w:rFonts w:ascii="Arial" w:hAnsi="Arial" w:cs="Arial"/>
          <w:sz w:val="24"/>
          <w:szCs w:val="24"/>
        </w:rPr>
        <w:t>coming</w:t>
      </w:r>
      <w:r w:rsidR="00C15432">
        <w:rPr>
          <w:rFonts w:ascii="Arial" w:hAnsi="Arial" w:cs="Arial"/>
          <w:sz w:val="24"/>
          <w:szCs w:val="24"/>
        </w:rPr>
        <w:t xml:space="preserve"> </w:t>
      </w:r>
      <w:r>
        <w:rPr>
          <w:rFonts w:ascii="Arial" w:hAnsi="Arial" w:cs="Arial"/>
          <w:sz w:val="24"/>
          <w:szCs w:val="24"/>
        </w:rPr>
        <w:t xml:space="preserve">out of the 2008 financial crisis </w:t>
      </w:r>
      <w:r w:rsidR="00C15432">
        <w:rPr>
          <w:rFonts w:ascii="Arial" w:hAnsi="Arial" w:cs="Arial"/>
          <w:sz w:val="24"/>
          <w:szCs w:val="24"/>
        </w:rPr>
        <w:t xml:space="preserve">concerned </w:t>
      </w:r>
      <w:r w:rsidR="00035E07" w:rsidRPr="00035E07">
        <w:rPr>
          <w:rFonts w:ascii="Arial" w:hAnsi="Arial" w:cs="Arial"/>
          <w:sz w:val="24"/>
          <w:szCs w:val="24"/>
        </w:rPr>
        <w:t>corporate governance risk management</w:t>
      </w:r>
      <w:r w:rsidR="00C15432">
        <w:rPr>
          <w:rFonts w:ascii="Arial" w:hAnsi="Arial" w:cs="Arial"/>
          <w:sz w:val="24"/>
          <w:szCs w:val="24"/>
        </w:rPr>
        <w:t>.  T</w:t>
      </w:r>
      <w:r w:rsidR="00035E07" w:rsidRPr="00035E07">
        <w:rPr>
          <w:rFonts w:ascii="Arial" w:hAnsi="Arial" w:cs="Arial"/>
          <w:sz w:val="24"/>
          <w:szCs w:val="24"/>
        </w:rPr>
        <w:t xml:space="preserve">he New York Stock Exchange (NYSE) </w:t>
      </w:r>
      <w:r w:rsidR="00C15432">
        <w:rPr>
          <w:rFonts w:ascii="Arial" w:hAnsi="Arial" w:cs="Arial"/>
          <w:sz w:val="24"/>
          <w:szCs w:val="24"/>
        </w:rPr>
        <w:t>had</w:t>
      </w:r>
      <w:r w:rsidR="00035E07" w:rsidRPr="00035E07">
        <w:rPr>
          <w:rFonts w:ascii="Arial" w:hAnsi="Arial" w:cs="Arial"/>
          <w:sz w:val="24"/>
          <w:szCs w:val="24"/>
        </w:rPr>
        <w:t xml:space="preserve"> sponsored a Commission on Corporate Governance</w:t>
      </w:r>
      <w:r w:rsidR="00035E07" w:rsidRPr="00035E07">
        <w:rPr>
          <w:rStyle w:val="FootnoteReference"/>
          <w:rFonts w:ascii="Arial" w:hAnsi="Arial" w:cs="Arial"/>
          <w:sz w:val="24"/>
          <w:szCs w:val="24"/>
        </w:rPr>
        <w:footnoteReference w:id="1"/>
      </w:r>
      <w:r w:rsidR="00035E07" w:rsidRPr="00035E07">
        <w:rPr>
          <w:rFonts w:ascii="Arial" w:hAnsi="Arial" w:cs="Arial"/>
          <w:sz w:val="24"/>
          <w:szCs w:val="24"/>
        </w:rPr>
        <w:t xml:space="preserve"> which issued the following key corporate governance principles (2010):</w:t>
      </w:r>
    </w:p>
    <w:p w:rsidR="00035E07" w:rsidRPr="00035E07" w:rsidRDefault="00035E07" w:rsidP="00035E07">
      <w:pPr>
        <w:numPr>
          <w:ilvl w:val="0"/>
          <w:numId w:val="2"/>
        </w:numPr>
        <w:spacing w:after="0" w:line="240" w:lineRule="auto"/>
        <w:rPr>
          <w:rFonts w:ascii="Arial" w:hAnsi="Arial" w:cs="Arial"/>
          <w:sz w:val="24"/>
          <w:szCs w:val="24"/>
        </w:rPr>
      </w:pPr>
      <w:r w:rsidRPr="00035E07">
        <w:rPr>
          <w:rFonts w:ascii="Arial" w:hAnsi="Arial" w:cs="Arial"/>
          <w:sz w:val="24"/>
          <w:szCs w:val="24"/>
        </w:rPr>
        <w:t>The Board of Directors’ fundamental objective should be to build long-term sustainable growth in shareholder value.  Thus, policies that promote excessive risk-taking for short-term stock price increases, and compensation policies that do not encourage long-term value creation, are inconsistent with good corporate practices.</w:t>
      </w:r>
    </w:p>
    <w:p w:rsidR="00035E07" w:rsidRPr="00035E07" w:rsidRDefault="00035E07" w:rsidP="00035E07">
      <w:pPr>
        <w:numPr>
          <w:ilvl w:val="0"/>
          <w:numId w:val="2"/>
        </w:numPr>
        <w:spacing w:after="0" w:line="240" w:lineRule="auto"/>
        <w:rPr>
          <w:rFonts w:ascii="Arial" w:hAnsi="Arial" w:cs="Arial"/>
          <w:sz w:val="24"/>
          <w:szCs w:val="24"/>
        </w:rPr>
      </w:pPr>
      <w:r w:rsidRPr="00035E07">
        <w:rPr>
          <w:rFonts w:ascii="Arial" w:hAnsi="Arial" w:cs="Arial"/>
          <w:sz w:val="24"/>
          <w:szCs w:val="24"/>
        </w:rPr>
        <w:t>Management has the primary responsibility for creating a culture of performance with integrity.  Management’s role in corporate governance includes establishing risk management processes and proper internal controls, insisting on high ethical standards, ensuring open internal communications about potential problems, and providing accurate information both to the Board and to shareholders.</w:t>
      </w:r>
    </w:p>
    <w:p w:rsidR="00035E07" w:rsidRPr="00035E07" w:rsidRDefault="00035E07" w:rsidP="00035E07">
      <w:pPr>
        <w:numPr>
          <w:ilvl w:val="0"/>
          <w:numId w:val="2"/>
        </w:numPr>
        <w:spacing w:after="0" w:line="240" w:lineRule="auto"/>
        <w:rPr>
          <w:rFonts w:ascii="Arial" w:hAnsi="Arial" w:cs="Arial"/>
          <w:sz w:val="24"/>
          <w:szCs w:val="24"/>
        </w:rPr>
      </w:pPr>
      <w:r w:rsidRPr="00035E07">
        <w:rPr>
          <w:rFonts w:ascii="Arial" w:hAnsi="Arial" w:cs="Arial"/>
          <w:sz w:val="24"/>
          <w:szCs w:val="24"/>
        </w:rPr>
        <w:t>Good corporate governance should be integrated as a core element of a company’s business strategy and not be simply viewed as a compliance obligation with a “check the box” mentality for mandates and best practices.</w:t>
      </w:r>
    </w:p>
    <w:p w:rsidR="00035E07" w:rsidRPr="00035E07" w:rsidRDefault="00035E07" w:rsidP="00035E07">
      <w:pPr>
        <w:numPr>
          <w:ilvl w:val="0"/>
          <w:numId w:val="2"/>
        </w:numPr>
        <w:spacing w:after="0" w:line="240" w:lineRule="auto"/>
        <w:rPr>
          <w:rFonts w:ascii="Arial" w:hAnsi="Arial" w:cs="Arial"/>
          <w:sz w:val="24"/>
          <w:szCs w:val="24"/>
        </w:rPr>
      </w:pPr>
      <w:r w:rsidRPr="00035E07">
        <w:rPr>
          <w:rFonts w:ascii="Arial" w:hAnsi="Arial" w:cs="Arial"/>
          <w:sz w:val="24"/>
          <w:szCs w:val="24"/>
        </w:rPr>
        <w:t>Transparency in disclosures is an essential element of corporate governance.</w:t>
      </w:r>
    </w:p>
    <w:p w:rsidR="00035E07" w:rsidRPr="00035E07" w:rsidRDefault="00035E07" w:rsidP="00035E07">
      <w:pPr>
        <w:numPr>
          <w:ilvl w:val="0"/>
          <w:numId w:val="2"/>
        </w:numPr>
        <w:spacing w:after="0" w:line="240" w:lineRule="auto"/>
        <w:rPr>
          <w:rFonts w:ascii="Arial" w:hAnsi="Arial" w:cs="Arial"/>
          <w:sz w:val="24"/>
          <w:szCs w:val="24"/>
        </w:rPr>
      </w:pPr>
      <w:r w:rsidRPr="00035E07">
        <w:rPr>
          <w:rFonts w:ascii="Arial" w:hAnsi="Arial" w:cs="Arial"/>
          <w:sz w:val="24"/>
          <w:szCs w:val="24"/>
        </w:rPr>
        <w:t>Independence and objectivity are necessary attributes of a Board of Directors.  However, subject to the NYSE’s requirement for a majority of independent directors, there should be a sufficient number of non-independent directors so that there is an appropriate range and mix of expertise, diversity and knowledge on the Board.</w:t>
      </w:r>
    </w:p>
    <w:p w:rsidR="00035E07" w:rsidRPr="00035E07" w:rsidRDefault="00035E07" w:rsidP="00035E07">
      <w:pPr>
        <w:numPr>
          <w:ilvl w:val="0"/>
          <w:numId w:val="2"/>
        </w:numPr>
        <w:spacing w:after="0" w:line="240" w:lineRule="auto"/>
        <w:rPr>
          <w:rFonts w:ascii="Arial" w:hAnsi="Arial" w:cs="Arial"/>
          <w:sz w:val="24"/>
          <w:szCs w:val="24"/>
        </w:rPr>
      </w:pPr>
      <w:r w:rsidRPr="00035E07">
        <w:rPr>
          <w:rFonts w:ascii="Arial" w:hAnsi="Arial" w:cs="Arial"/>
          <w:sz w:val="24"/>
          <w:szCs w:val="24"/>
        </w:rPr>
        <w:t xml:space="preserve">Shareholders have the right, a responsibility and a long-term economic interest to vote their shares in a thoughtful manner.  Institutional investors should disclose their corporate governance guidelines and general voting policies (and any potential conflicts of interests, such as managing a company’s retirement plans).  </w:t>
      </w:r>
    </w:p>
    <w:p w:rsidR="00035E07" w:rsidRPr="00035E07" w:rsidRDefault="00035E07" w:rsidP="00035E07">
      <w:pPr>
        <w:ind w:left="360"/>
        <w:rPr>
          <w:rFonts w:ascii="Arial" w:hAnsi="Arial" w:cs="Arial"/>
          <w:sz w:val="24"/>
          <w:szCs w:val="24"/>
        </w:rPr>
      </w:pPr>
    </w:p>
    <w:p w:rsidR="00035E07" w:rsidRPr="00035E07" w:rsidRDefault="00035E07" w:rsidP="00C15432">
      <w:pPr>
        <w:ind w:firstLine="720"/>
        <w:rPr>
          <w:rFonts w:ascii="Arial" w:hAnsi="Arial" w:cs="Arial"/>
          <w:sz w:val="24"/>
          <w:szCs w:val="24"/>
        </w:rPr>
      </w:pPr>
      <w:r w:rsidRPr="00035E07">
        <w:rPr>
          <w:rFonts w:ascii="Arial" w:hAnsi="Arial" w:cs="Arial"/>
          <w:sz w:val="24"/>
          <w:szCs w:val="24"/>
        </w:rPr>
        <w:lastRenderedPageBreak/>
        <w:t xml:space="preserve">Various empirical studies have investigated impacts of corporate governance upon </w:t>
      </w:r>
      <w:r w:rsidR="00C15432">
        <w:rPr>
          <w:rFonts w:ascii="Arial" w:hAnsi="Arial" w:cs="Arial"/>
          <w:sz w:val="24"/>
          <w:szCs w:val="24"/>
        </w:rPr>
        <w:t>companies</w:t>
      </w:r>
      <w:r w:rsidRPr="00035E07">
        <w:rPr>
          <w:rFonts w:ascii="Arial" w:hAnsi="Arial" w:cs="Arial"/>
          <w:sz w:val="24"/>
          <w:szCs w:val="24"/>
        </w:rPr>
        <w:t>’ risk taking (stock market based measures) and financial performance (return on assets, non-performing assets, etc.).  The following corporate governance variables have been found to have a significant, negative impact on risk taking and financial performance (</w:t>
      </w:r>
      <w:proofErr w:type="spellStart"/>
      <w:r w:rsidRPr="00035E07">
        <w:rPr>
          <w:rFonts w:ascii="Arial" w:hAnsi="Arial" w:cs="Arial"/>
          <w:sz w:val="24"/>
          <w:szCs w:val="24"/>
        </w:rPr>
        <w:t>Allemand</w:t>
      </w:r>
      <w:proofErr w:type="spellEnd"/>
      <w:r w:rsidRPr="00035E07">
        <w:rPr>
          <w:rFonts w:ascii="Arial" w:hAnsi="Arial" w:cs="Arial"/>
          <w:sz w:val="24"/>
          <w:szCs w:val="24"/>
        </w:rPr>
        <w:t xml:space="preserve"> et. al. 2013, Grove et. al. 2011, Victoravich et. al. 2011)</w:t>
      </w:r>
      <w:r w:rsidR="00234FCF">
        <w:rPr>
          <w:rFonts w:ascii="Arial" w:hAnsi="Arial" w:cs="Arial"/>
          <w:sz w:val="24"/>
          <w:szCs w:val="24"/>
        </w:rPr>
        <w:t xml:space="preserve"> as well as fraudulent financial reporting or significant earnings management (Grove and </w:t>
      </w:r>
      <w:proofErr w:type="spellStart"/>
      <w:r w:rsidR="00234FCF">
        <w:rPr>
          <w:rFonts w:ascii="Arial" w:hAnsi="Arial" w:cs="Arial"/>
          <w:sz w:val="24"/>
          <w:szCs w:val="24"/>
        </w:rPr>
        <w:t>Basilico</w:t>
      </w:r>
      <w:proofErr w:type="spellEnd"/>
      <w:r w:rsidR="00234FCF">
        <w:rPr>
          <w:rFonts w:ascii="Arial" w:hAnsi="Arial" w:cs="Arial"/>
          <w:sz w:val="24"/>
          <w:szCs w:val="24"/>
        </w:rPr>
        <w:t>, 2011):</w:t>
      </w:r>
    </w:p>
    <w:p w:rsidR="00035E07" w:rsidRPr="00035E07" w:rsidRDefault="00035E07" w:rsidP="00035E07">
      <w:pPr>
        <w:numPr>
          <w:ilvl w:val="0"/>
          <w:numId w:val="3"/>
        </w:numPr>
        <w:spacing w:after="0" w:line="240" w:lineRule="auto"/>
        <w:rPr>
          <w:rFonts w:ascii="Arial" w:hAnsi="Arial" w:cs="Arial"/>
          <w:sz w:val="24"/>
          <w:szCs w:val="24"/>
        </w:rPr>
      </w:pPr>
      <w:r w:rsidRPr="00035E07">
        <w:rPr>
          <w:rFonts w:ascii="Arial" w:hAnsi="Arial" w:cs="Arial"/>
          <w:sz w:val="24"/>
          <w:szCs w:val="24"/>
        </w:rPr>
        <w:t>CEO duality (the CEO is also the Chairman of the Board of Directors)</w:t>
      </w:r>
    </w:p>
    <w:p w:rsidR="00035E07" w:rsidRDefault="00035E07" w:rsidP="00035E07">
      <w:pPr>
        <w:numPr>
          <w:ilvl w:val="0"/>
          <w:numId w:val="3"/>
        </w:numPr>
        <w:spacing w:after="0" w:line="240" w:lineRule="auto"/>
        <w:rPr>
          <w:rFonts w:ascii="Arial" w:hAnsi="Arial" w:cs="Arial"/>
          <w:sz w:val="24"/>
          <w:szCs w:val="24"/>
        </w:rPr>
      </w:pPr>
      <w:r w:rsidRPr="00035E07">
        <w:rPr>
          <w:rFonts w:ascii="Arial" w:hAnsi="Arial" w:cs="Arial"/>
          <w:sz w:val="24"/>
          <w:szCs w:val="24"/>
        </w:rPr>
        <w:t>Board of Directors entrenchment (only staggered re-elections of the Board versus all Board members re-elected every year)</w:t>
      </w:r>
    </w:p>
    <w:p w:rsidR="00C15432" w:rsidRDefault="00C15432" w:rsidP="00035E07">
      <w:pPr>
        <w:numPr>
          <w:ilvl w:val="0"/>
          <w:numId w:val="3"/>
        </w:numPr>
        <w:spacing w:after="0" w:line="240" w:lineRule="auto"/>
        <w:rPr>
          <w:rFonts w:ascii="Arial" w:hAnsi="Arial" w:cs="Arial"/>
          <w:sz w:val="24"/>
          <w:szCs w:val="24"/>
        </w:rPr>
      </w:pPr>
      <w:r>
        <w:rPr>
          <w:rFonts w:ascii="Arial" w:hAnsi="Arial" w:cs="Arial"/>
          <w:sz w:val="24"/>
          <w:szCs w:val="24"/>
        </w:rPr>
        <w:t>Large debt to market capitalization</w:t>
      </w:r>
    </w:p>
    <w:p w:rsidR="00C15432" w:rsidRPr="00035E07" w:rsidRDefault="00C15432" w:rsidP="00035E07">
      <w:pPr>
        <w:numPr>
          <w:ilvl w:val="0"/>
          <w:numId w:val="3"/>
        </w:numPr>
        <w:spacing w:after="0" w:line="240" w:lineRule="auto"/>
        <w:rPr>
          <w:rFonts w:ascii="Arial" w:hAnsi="Arial" w:cs="Arial"/>
          <w:sz w:val="24"/>
          <w:szCs w:val="24"/>
        </w:rPr>
      </w:pPr>
      <w:r>
        <w:rPr>
          <w:rFonts w:ascii="Arial" w:hAnsi="Arial" w:cs="Arial"/>
          <w:sz w:val="24"/>
          <w:szCs w:val="24"/>
        </w:rPr>
        <w:t xml:space="preserve">Board size (larger boards, </w:t>
      </w:r>
      <w:r w:rsidR="002F2EF9">
        <w:rPr>
          <w:rFonts w:ascii="Arial" w:hAnsi="Arial" w:cs="Arial"/>
          <w:sz w:val="24"/>
          <w:szCs w:val="24"/>
        </w:rPr>
        <w:t>such as</w:t>
      </w:r>
      <w:r>
        <w:rPr>
          <w:rFonts w:ascii="Arial" w:hAnsi="Arial" w:cs="Arial"/>
          <w:sz w:val="24"/>
          <w:szCs w:val="24"/>
        </w:rPr>
        <w:t xml:space="preserve"> over 10, are less functional)</w:t>
      </w:r>
    </w:p>
    <w:p w:rsidR="00035E07" w:rsidRPr="00035E07" w:rsidRDefault="00C15432" w:rsidP="00035E07">
      <w:pPr>
        <w:numPr>
          <w:ilvl w:val="0"/>
          <w:numId w:val="3"/>
        </w:numPr>
        <w:spacing w:after="0" w:line="240" w:lineRule="auto"/>
        <w:rPr>
          <w:rFonts w:ascii="Arial" w:hAnsi="Arial" w:cs="Arial"/>
          <w:sz w:val="24"/>
          <w:szCs w:val="24"/>
        </w:rPr>
      </w:pPr>
      <w:r>
        <w:rPr>
          <w:rFonts w:ascii="Arial" w:hAnsi="Arial" w:cs="Arial"/>
          <w:sz w:val="24"/>
          <w:szCs w:val="24"/>
        </w:rPr>
        <w:t xml:space="preserve">Older Directors (over 70 </w:t>
      </w:r>
      <w:r w:rsidR="00035E07" w:rsidRPr="00035E07">
        <w:rPr>
          <w:rFonts w:ascii="Arial" w:hAnsi="Arial" w:cs="Arial"/>
          <w:sz w:val="24"/>
          <w:szCs w:val="24"/>
        </w:rPr>
        <w:t>years of age)</w:t>
      </w:r>
    </w:p>
    <w:p w:rsidR="00035E07" w:rsidRDefault="00035E07" w:rsidP="00035E07">
      <w:pPr>
        <w:numPr>
          <w:ilvl w:val="0"/>
          <w:numId w:val="3"/>
        </w:numPr>
        <w:spacing w:after="0" w:line="240" w:lineRule="auto"/>
        <w:rPr>
          <w:rFonts w:ascii="Arial" w:hAnsi="Arial" w:cs="Arial"/>
          <w:sz w:val="24"/>
          <w:szCs w:val="24"/>
        </w:rPr>
      </w:pPr>
      <w:r w:rsidRPr="00035E07">
        <w:rPr>
          <w:rFonts w:ascii="Arial" w:hAnsi="Arial" w:cs="Arial"/>
          <w:sz w:val="24"/>
          <w:szCs w:val="24"/>
        </w:rPr>
        <w:t>Short-term compensation mix (cash bonuses and stock options versus long-term stock awards and restricted stock)</w:t>
      </w:r>
    </w:p>
    <w:p w:rsidR="00C15432" w:rsidRPr="00035E07" w:rsidRDefault="00C15432" w:rsidP="00035E07">
      <w:pPr>
        <w:numPr>
          <w:ilvl w:val="0"/>
          <w:numId w:val="3"/>
        </w:numPr>
        <w:spacing w:after="0" w:line="240" w:lineRule="auto"/>
        <w:rPr>
          <w:rFonts w:ascii="Arial" w:hAnsi="Arial" w:cs="Arial"/>
          <w:sz w:val="24"/>
          <w:szCs w:val="24"/>
        </w:rPr>
      </w:pPr>
      <w:r>
        <w:rPr>
          <w:rFonts w:ascii="Arial" w:hAnsi="Arial" w:cs="Arial"/>
          <w:sz w:val="24"/>
          <w:szCs w:val="24"/>
        </w:rPr>
        <w:t>Busy directors (serving on more than three boards)</w:t>
      </w:r>
    </w:p>
    <w:p w:rsidR="00035E07" w:rsidRPr="00035E07" w:rsidRDefault="00035E07" w:rsidP="00035E07">
      <w:pPr>
        <w:numPr>
          <w:ilvl w:val="0"/>
          <w:numId w:val="3"/>
        </w:numPr>
        <w:spacing w:after="0" w:line="240" w:lineRule="auto"/>
        <w:rPr>
          <w:rFonts w:ascii="Arial" w:hAnsi="Arial" w:cs="Arial"/>
          <w:sz w:val="24"/>
          <w:szCs w:val="24"/>
        </w:rPr>
      </w:pPr>
      <w:r w:rsidRPr="00035E07">
        <w:rPr>
          <w:rFonts w:ascii="Arial" w:hAnsi="Arial" w:cs="Arial"/>
          <w:sz w:val="24"/>
          <w:szCs w:val="24"/>
        </w:rPr>
        <w:t>Non-independent and affiliated Directors (larger percentages of such directors versus independent directors)</w:t>
      </w:r>
    </w:p>
    <w:p w:rsidR="00035E07" w:rsidRPr="00035E07" w:rsidRDefault="00035E07" w:rsidP="00035E07">
      <w:pPr>
        <w:rPr>
          <w:rFonts w:ascii="Arial" w:hAnsi="Arial" w:cs="Arial"/>
          <w:sz w:val="24"/>
          <w:szCs w:val="24"/>
        </w:rPr>
      </w:pPr>
      <w:r w:rsidRPr="00035E07">
        <w:rPr>
          <w:rFonts w:ascii="Arial" w:hAnsi="Arial" w:cs="Arial"/>
          <w:sz w:val="24"/>
          <w:szCs w:val="24"/>
        </w:rPr>
        <w:t xml:space="preserve">  </w:t>
      </w:r>
    </w:p>
    <w:p w:rsidR="00EF33CA" w:rsidRPr="00155105" w:rsidRDefault="00EF33CA" w:rsidP="00EF33CA">
      <w:pPr>
        <w:spacing w:line="240" w:lineRule="auto"/>
        <w:ind w:firstLine="720"/>
        <w:rPr>
          <w:rFonts w:ascii="Arial" w:hAnsi="Arial" w:cs="Arial"/>
          <w:sz w:val="24"/>
          <w:szCs w:val="24"/>
        </w:rPr>
      </w:pPr>
      <w:r>
        <w:rPr>
          <w:rFonts w:ascii="Arial" w:hAnsi="Arial" w:cs="Arial"/>
          <w:sz w:val="24"/>
          <w:szCs w:val="24"/>
        </w:rPr>
        <w:t xml:space="preserve">Concerning CEO duality, the </w:t>
      </w:r>
      <w:r w:rsidR="002F2EF9">
        <w:rPr>
          <w:rFonts w:ascii="Arial" w:hAnsi="Arial" w:cs="Arial"/>
          <w:sz w:val="24"/>
          <w:szCs w:val="24"/>
        </w:rPr>
        <w:t xml:space="preserve">U.S. </w:t>
      </w:r>
      <w:r>
        <w:rPr>
          <w:rFonts w:ascii="Arial" w:hAnsi="Arial" w:cs="Arial"/>
          <w:sz w:val="24"/>
          <w:szCs w:val="24"/>
        </w:rPr>
        <w:t xml:space="preserve">S&amp;P </w:t>
      </w:r>
      <w:r w:rsidR="002F2EF9">
        <w:rPr>
          <w:rFonts w:ascii="Arial" w:hAnsi="Arial" w:cs="Arial"/>
          <w:sz w:val="24"/>
          <w:szCs w:val="24"/>
        </w:rPr>
        <w:t>500</w:t>
      </w:r>
      <w:r>
        <w:rPr>
          <w:rFonts w:ascii="Arial" w:hAnsi="Arial" w:cs="Arial"/>
          <w:sz w:val="24"/>
          <w:szCs w:val="24"/>
        </w:rPr>
        <w:t xml:space="preserve"> companies have now separated these two jobs 22% of </w:t>
      </w:r>
      <w:r w:rsidR="002F2EF9">
        <w:rPr>
          <w:rFonts w:ascii="Arial" w:hAnsi="Arial" w:cs="Arial"/>
          <w:sz w:val="24"/>
          <w:szCs w:val="24"/>
        </w:rPr>
        <w:t>the time</w:t>
      </w:r>
      <w:r>
        <w:rPr>
          <w:rFonts w:ascii="Arial" w:hAnsi="Arial" w:cs="Arial"/>
          <w:sz w:val="24"/>
          <w:szCs w:val="24"/>
        </w:rPr>
        <w:t xml:space="preserve">, up from less than 10% in the last decade.  More U.S. companies </w:t>
      </w:r>
      <w:r w:rsidR="002F2EF9">
        <w:rPr>
          <w:rFonts w:ascii="Arial" w:hAnsi="Arial" w:cs="Arial"/>
          <w:sz w:val="24"/>
          <w:szCs w:val="24"/>
        </w:rPr>
        <w:t>hav</w:t>
      </w:r>
      <w:r>
        <w:rPr>
          <w:rFonts w:ascii="Arial" w:hAnsi="Arial" w:cs="Arial"/>
          <w:sz w:val="24"/>
          <w:szCs w:val="24"/>
        </w:rPr>
        <w:t xml:space="preserve">e </w:t>
      </w:r>
      <w:r w:rsidR="002F2EF9">
        <w:rPr>
          <w:rFonts w:ascii="Arial" w:hAnsi="Arial" w:cs="Arial"/>
          <w:sz w:val="24"/>
          <w:szCs w:val="24"/>
        </w:rPr>
        <w:t xml:space="preserve">been </w:t>
      </w:r>
      <w:r>
        <w:rPr>
          <w:rFonts w:ascii="Arial" w:hAnsi="Arial" w:cs="Arial"/>
          <w:sz w:val="24"/>
          <w:szCs w:val="24"/>
        </w:rPr>
        <w:t xml:space="preserve">eliminating staggered board elections to reduce board entrenchment and </w:t>
      </w:r>
      <w:r w:rsidR="002F2EF9">
        <w:rPr>
          <w:rFonts w:ascii="Arial" w:hAnsi="Arial" w:cs="Arial"/>
          <w:sz w:val="24"/>
          <w:szCs w:val="24"/>
        </w:rPr>
        <w:t>have been eliminating</w:t>
      </w:r>
      <w:r>
        <w:rPr>
          <w:rFonts w:ascii="Arial" w:hAnsi="Arial" w:cs="Arial"/>
          <w:sz w:val="24"/>
          <w:szCs w:val="24"/>
        </w:rPr>
        <w:t xml:space="preserve"> a</w:t>
      </w:r>
      <w:r w:rsidRPr="00155105">
        <w:rPr>
          <w:rFonts w:ascii="Arial" w:hAnsi="Arial" w:cs="Arial"/>
          <w:sz w:val="24"/>
          <w:szCs w:val="24"/>
        </w:rPr>
        <w:t xml:space="preserve">nti-takeover provisions </w:t>
      </w:r>
      <w:r>
        <w:rPr>
          <w:rFonts w:ascii="Arial" w:hAnsi="Arial" w:cs="Arial"/>
          <w:sz w:val="24"/>
          <w:szCs w:val="24"/>
        </w:rPr>
        <w:t xml:space="preserve">to reduce </w:t>
      </w:r>
      <w:r w:rsidRPr="00155105">
        <w:rPr>
          <w:rFonts w:ascii="Arial" w:hAnsi="Arial" w:cs="Arial"/>
          <w:sz w:val="24"/>
          <w:szCs w:val="24"/>
        </w:rPr>
        <w:t xml:space="preserve">managers’ entrenchment (Gorton &amp; </w:t>
      </w:r>
      <w:proofErr w:type="spellStart"/>
      <w:r w:rsidRPr="00155105">
        <w:rPr>
          <w:rFonts w:ascii="Arial" w:hAnsi="Arial" w:cs="Arial"/>
          <w:sz w:val="24"/>
          <w:szCs w:val="24"/>
        </w:rPr>
        <w:t>Kahl</w:t>
      </w:r>
      <w:proofErr w:type="spellEnd"/>
      <w:r w:rsidRPr="00155105">
        <w:rPr>
          <w:rFonts w:ascii="Arial" w:hAnsi="Arial" w:cs="Arial"/>
          <w:sz w:val="24"/>
          <w:szCs w:val="24"/>
        </w:rPr>
        <w:t>, 2008).</w:t>
      </w:r>
    </w:p>
    <w:p w:rsidR="00155105" w:rsidRPr="00155105" w:rsidRDefault="00EF33CA" w:rsidP="00EF33CA">
      <w:pPr>
        <w:spacing w:line="240" w:lineRule="auto"/>
        <w:ind w:firstLine="720"/>
        <w:rPr>
          <w:rFonts w:ascii="Arial" w:hAnsi="Arial" w:cs="Arial"/>
          <w:b/>
          <w:sz w:val="24"/>
          <w:szCs w:val="24"/>
        </w:rPr>
      </w:pPr>
      <w:r>
        <w:rPr>
          <w:rFonts w:ascii="Arial" w:hAnsi="Arial" w:cs="Arial"/>
          <w:sz w:val="24"/>
          <w:szCs w:val="24"/>
        </w:rPr>
        <w:t>H</w:t>
      </w:r>
      <w:r w:rsidR="00035E07" w:rsidRPr="00035E07">
        <w:rPr>
          <w:rFonts w:ascii="Arial" w:hAnsi="Arial" w:cs="Arial"/>
          <w:sz w:val="24"/>
          <w:szCs w:val="24"/>
        </w:rPr>
        <w:t xml:space="preserve">igh leverage (debt to equity) levels were associated with high levels of banks’ risk taking and poor financial performance in these </w:t>
      </w:r>
      <w:r w:rsidR="009966B5">
        <w:rPr>
          <w:rFonts w:ascii="Arial" w:hAnsi="Arial" w:cs="Arial"/>
          <w:sz w:val="24"/>
          <w:szCs w:val="24"/>
        </w:rPr>
        <w:t xml:space="preserve">previously cited corporate governance </w:t>
      </w:r>
      <w:r w:rsidR="00035E07" w:rsidRPr="00035E07">
        <w:rPr>
          <w:rFonts w:ascii="Arial" w:hAnsi="Arial" w:cs="Arial"/>
          <w:sz w:val="24"/>
          <w:szCs w:val="24"/>
        </w:rPr>
        <w:t xml:space="preserve">studies.  When implementing the $700 billion bailout of major U.S. banks, the U.S. Treasury did not replace any existing bank </w:t>
      </w:r>
      <w:r w:rsidR="009966B5">
        <w:rPr>
          <w:rFonts w:ascii="Arial" w:hAnsi="Arial" w:cs="Arial"/>
          <w:sz w:val="24"/>
          <w:szCs w:val="24"/>
        </w:rPr>
        <w:t>b</w:t>
      </w:r>
      <w:r w:rsidR="00035E07" w:rsidRPr="00035E07">
        <w:rPr>
          <w:rFonts w:ascii="Arial" w:hAnsi="Arial" w:cs="Arial"/>
          <w:sz w:val="24"/>
          <w:szCs w:val="24"/>
        </w:rPr>
        <w:t xml:space="preserve">oard members but added new </w:t>
      </w:r>
      <w:r w:rsidR="009966B5">
        <w:rPr>
          <w:rFonts w:ascii="Arial" w:hAnsi="Arial" w:cs="Arial"/>
          <w:sz w:val="24"/>
          <w:szCs w:val="24"/>
        </w:rPr>
        <w:t>d</w:t>
      </w:r>
      <w:r w:rsidR="00035E07" w:rsidRPr="00035E07">
        <w:rPr>
          <w:rFonts w:ascii="Arial" w:hAnsi="Arial" w:cs="Arial"/>
          <w:sz w:val="24"/>
          <w:szCs w:val="24"/>
        </w:rPr>
        <w:t xml:space="preserve">irectors to represent taxpayer interests.  Many of these original </w:t>
      </w:r>
      <w:r w:rsidR="009966B5">
        <w:rPr>
          <w:rFonts w:ascii="Arial" w:hAnsi="Arial" w:cs="Arial"/>
          <w:sz w:val="24"/>
          <w:szCs w:val="24"/>
        </w:rPr>
        <w:t>d</w:t>
      </w:r>
      <w:r w:rsidR="00035E07" w:rsidRPr="00035E07">
        <w:rPr>
          <w:rFonts w:ascii="Arial" w:hAnsi="Arial" w:cs="Arial"/>
          <w:sz w:val="24"/>
          <w:szCs w:val="24"/>
        </w:rPr>
        <w:t xml:space="preserve">irectors oversaw the big banks and brokerage firms when they were taking huge risks during the real estate boom.  A corporate government specialist concluded: </w:t>
      </w:r>
      <w:r w:rsidR="00035E07" w:rsidRPr="00C15432">
        <w:rPr>
          <w:rFonts w:ascii="Arial" w:hAnsi="Arial" w:cs="Arial"/>
          <w:sz w:val="24"/>
          <w:szCs w:val="24"/>
        </w:rPr>
        <w:t xml:space="preserve">“these boards had no idea about the risks these firms were taking on and relied on management to tell them” </w:t>
      </w:r>
      <w:r w:rsidR="00035E07" w:rsidRPr="00035E07">
        <w:rPr>
          <w:rFonts w:ascii="Arial" w:hAnsi="Arial" w:cs="Arial"/>
          <w:sz w:val="24"/>
          <w:szCs w:val="24"/>
        </w:rPr>
        <w:t>(Barr 2008).</w:t>
      </w:r>
    </w:p>
    <w:p w:rsidR="00BF19B7" w:rsidRDefault="00155105" w:rsidP="00EF33CA">
      <w:pPr>
        <w:spacing w:line="240" w:lineRule="auto"/>
        <w:ind w:firstLine="720"/>
        <w:jc w:val="both"/>
        <w:rPr>
          <w:rFonts w:ascii="Arial" w:hAnsi="Arial" w:cs="Arial"/>
          <w:sz w:val="24"/>
          <w:szCs w:val="24"/>
        </w:rPr>
      </w:pPr>
      <w:r w:rsidRPr="00155105">
        <w:rPr>
          <w:rFonts w:ascii="Arial" w:hAnsi="Arial" w:cs="Arial"/>
          <w:sz w:val="24"/>
          <w:szCs w:val="24"/>
        </w:rPr>
        <w:t xml:space="preserve">The </w:t>
      </w:r>
      <w:r w:rsidR="00BF19B7">
        <w:rPr>
          <w:rFonts w:ascii="Arial" w:hAnsi="Arial" w:cs="Arial"/>
          <w:sz w:val="24"/>
          <w:szCs w:val="24"/>
        </w:rPr>
        <w:t>size of the</w:t>
      </w:r>
      <w:r w:rsidRPr="00155105">
        <w:rPr>
          <w:rFonts w:ascii="Arial" w:hAnsi="Arial" w:cs="Arial"/>
          <w:sz w:val="24"/>
          <w:szCs w:val="24"/>
        </w:rPr>
        <w:t xml:space="preserve"> board of directors has been addressed </w:t>
      </w:r>
      <w:r w:rsidR="002730FB">
        <w:rPr>
          <w:rFonts w:ascii="Arial" w:hAnsi="Arial" w:cs="Arial"/>
          <w:sz w:val="24"/>
          <w:szCs w:val="24"/>
        </w:rPr>
        <w:t>and bigger is not better</w:t>
      </w:r>
      <w:r w:rsidR="002730FB" w:rsidRPr="00155105">
        <w:rPr>
          <w:rFonts w:ascii="Arial" w:hAnsi="Arial" w:cs="Arial"/>
          <w:sz w:val="24"/>
          <w:szCs w:val="24"/>
        </w:rPr>
        <w:t xml:space="preserve"> </w:t>
      </w:r>
      <w:r w:rsidR="002730FB">
        <w:rPr>
          <w:rFonts w:ascii="Arial" w:hAnsi="Arial" w:cs="Arial"/>
          <w:sz w:val="24"/>
          <w:szCs w:val="24"/>
        </w:rPr>
        <w:t>(</w:t>
      </w:r>
      <w:proofErr w:type="spellStart"/>
      <w:r w:rsidRPr="00155105">
        <w:rPr>
          <w:rFonts w:ascii="Arial" w:hAnsi="Arial" w:cs="Arial"/>
          <w:sz w:val="24"/>
          <w:szCs w:val="24"/>
        </w:rPr>
        <w:t>Bennedsen</w:t>
      </w:r>
      <w:proofErr w:type="spellEnd"/>
      <w:r w:rsidRPr="00155105">
        <w:rPr>
          <w:rFonts w:ascii="Arial" w:hAnsi="Arial" w:cs="Arial"/>
          <w:sz w:val="24"/>
          <w:szCs w:val="24"/>
        </w:rPr>
        <w:t xml:space="preserve"> et al.</w:t>
      </w:r>
      <w:r w:rsidR="002730FB">
        <w:rPr>
          <w:rFonts w:ascii="Arial" w:hAnsi="Arial" w:cs="Arial"/>
          <w:sz w:val="24"/>
          <w:szCs w:val="24"/>
        </w:rPr>
        <w:t>,</w:t>
      </w:r>
      <w:r w:rsidRPr="00155105">
        <w:rPr>
          <w:rFonts w:ascii="Arial" w:hAnsi="Arial" w:cs="Arial"/>
          <w:sz w:val="24"/>
          <w:szCs w:val="24"/>
        </w:rPr>
        <w:t xml:space="preserve"> 2008 and Boone et al.</w:t>
      </w:r>
      <w:r w:rsidR="002730FB">
        <w:rPr>
          <w:rFonts w:ascii="Arial" w:hAnsi="Arial" w:cs="Arial"/>
          <w:sz w:val="24"/>
          <w:szCs w:val="24"/>
        </w:rPr>
        <w:t xml:space="preserve">, </w:t>
      </w:r>
      <w:r w:rsidRPr="00155105">
        <w:rPr>
          <w:rFonts w:ascii="Arial" w:hAnsi="Arial" w:cs="Arial"/>
          <w:sz w:val="24"/>
          <w:szCs w:val="24"/>
        </w:rPr>
        <w:t xml:space="preserve">2007). </w:t>
      </w:r>
      <w:r w:rsidR="00BF19B7">
        <w:rPr>
          <w:rFonts w:ascii="Arial" w:hAnsi="Arial" w:cs="Arial"/>
          <w:sz w:val="24"/>
          <w:szCs w:val="24"/>
        </w:rPr>
        <w:t xml:space="preserve">Also, </w:t>
      </w:r>
      <w:r w:rsidR="00073F4A">
        <w:rPr>
          <w:rFonts w:ascii="Arial" w:hAnsi="Arial" w:cs="Arial"/>
          <w:sz w:val="24"/>
          <w:szCs w:val="24"/>
        </w:rPr>
        <w:t>t</w:t>
      </w:r>
      <w:r w:rsidRPr="00155105">
        <w:rPr>
          <w:rFonts w:ascii="Arial" w:hAnsi="Arial" w:cs="Arial"/>
          <w:sz w:val="24"/>
          <w:szCs w:val="24"/>
        </w:rPr>
        <w:t xml:space="preserve">he importance of the board </w:t>
      </w:r>
      <w:r w:rsidR="009966B5">
        <w:rPr>
          <w:rFonts w:ascii="Arial" w:hAnsi="Arial" w:cs="Arial"/>
          <w:sz w:val="24"/>
          <w:szCs w:val="24"/>
        </w:rPr>
        <w:t>has been argued to be</w:t>
      </w:r>
      <w:r w:rsidRPr="00155105">
        <w:rPr>
          <w:rFonts w:ascii="Arial" w:hAnsi="Arial" w:cs="Arial"/>
          <w:sz w:val="24"/>
          <w:szCs w:val="24"/>
        </w:rPr>
        <w:t xml:space="preserve"> greater </w:t>
      </w:r>
      <w:r w:rsidR="00073F4A">
        <w:rPr>
          <w:rFonts w:ascii="Arial" w:hAnsi="Arial" w:cs="Arial"/>
          <w:sz w:val="24"/>
          <w:szCs w:val="24"/>
        </w:rPr>
        <w:t xml:space="preserve">in banks than </w:t>
      </w:r>
      <w:r w:rsidRPr="00155105">
        <w:rPr>
          <w:rFonts w:ascii="Arial" w:hAnsi="Arial" w:cs="Arial"/>
          <w:sz w:val="24"/>
          <w:szCs w:val="24"/>
        </w:rPr>
        <w:t>other sectors, due to directors</w:t>
      </w:r>
      <w:r w:rsidR="00073F4A">
        <w:rPr>
          <w:rFonts w:ascii="Arial" w:hAnsi="Arial" w:cs="Arial"/>
          <w:sz w:val="24"/>
          <w:szCs w:val="24"/>
        </w:rPr>
        <w:t>’</w:t>
      </w:r>
      <w:r w:rsidRPr="00155105">
        <w:rPr>
          <w:rFonts w:ascii="Arial" w:hAnsi="Arial" w:cs="Arial"/>
          <w:sz w:val="24"/>
          <w:szCs w:val="24"/>
        </w:rPr>
        <w:t xml:space="preserve"> fiduciary responsibilities to shareholders</w:t>
      </w:r>
      <w:r w:rsidR="00073F4A">
        <w:rPr>
          <w:rFonts w:ascii="Arial" w:hAnsi="Arial" w:cs="Arial"/>
          <w:sz w:val="24"/>
          <w:szCs w:val="24"/>
        </w:rPr>
        <w:t xml:space="preserve"> as well as</w:t>
      </w:r>
      <w:r w:rsidRPr="00155105">
        <w:rPr>
          <w:rFonts w:ascii="Arial" w:hAnsi="Arial" w:cs="Arial"/>
          <w:sz w:val="24"/>
          <w:szCs w:val="24"/>
        </w:rPr>
        <w:t xml:space="preserve"> </w:t>
      </w:r>
      <w:r w:rsidR="00073F4A">
        <w:rPr>
          <w:rFonts w:ascii="Arial" w:hAnsi="Arial" w:cs="Arial"/>
          <w:sz w:val="24"/>
          <w:szCs w:val="24"/>
        </w:rPr>
        <w:t xml:space="preserve">to </w:t>
      </w:r>
      <w:r w:rsidRPr="00155105">
        <w:rPr>
          <w:rFonts w:ascii="Arial" w:hAnsi="Arial" w:cs="Arial"/>
          <w:sz w:val="24"/>
          <w:szCs w:val="24"/>
        </w:rPr>
        <w:t>depositors and regulators</w:t>
      </w:r>
      <w:r w:rsidR="002730FB">
        <w:rPr>
          <w:rFonts w:ascii="Arial" w:hAnsi="Arial" w:cs="Arial"/>
          <w:sz w:val="24"/>
          <w:szCs w:val="24"/>
        </w:rPr>
        <w:t xml:space="preserve"> </w:t>
      </w:r>
      <w:r w:rsidR="00073F4A">
        <w:rPr>
          <w:rFonts w:ascii="Arial" w:hAnsi="Arial" w:cs="Arial"/>
          <w:sz w:val="24"/>
          <w:szCs w:val="24"/>
        </w:rPr>
        <w:t>(</w:t>
      </w:r>
      <w:proofErr w:type="spellStart"/>
      <w:r w:rsidR="002730FB" w:rsidRPr="00155105">
        <w:rPr>
          <w:rFonts w:ascii="Arial" w:hAnsi="Arial" w:cs="Arial"/>
          <w:sz w:val="24"/>
          <w:szCs w:val="24"/>
        </w:rPr>
        <w:t>Pathan</w:t>
      </w:r>
      <w:proofErr w:type="spellEnd"/>
      <w:r w:rsidR="00073F4A">
        <w:rPr>
          <w:rFonts w:ascii="Arial" w:hAnsi="Arial" w:cs="Arial"/>
          <w:sz w:val="24"/>
          <w:szCs w:val="24"/>
        </w:rPr>
        <w:t xml:space="preserve">, </w:t>
      </w:r>
      <w:r w:rsidR="002730FB" w:rsidRPr="00155105">
        <w:rPr>
          <w:rFonts w:ascii="Arial" w:hAnsi="Arial" w:cs="Arial"/>
          <w:sz w:val="24"/>
          <w:szCs w:val="24"/>
        </w:rPr>
        <w:t>2009)</w:t>
      </w:r>
      <w:r w:rsidR="00073F4A">
        <w:rPr>
          <w:rFonts w:ascii="Arial" w:hAnsi="Arial" w:cs="Arial"/>
          <w:sz w:val="24"/>
          <w:szCs w:val="24"/>
        </w:rPr>
        <w:t xml:space="preserve">. </w:t>
      </w:r>
      <w:r w:rsidR="00F25D9F">
        <w:rPr>
          <w:rFonts w:ascii="Arial" w:hAnsi="Arial" w:cs="Arial"/>
          <w:sz w:val="24"/>
          <w:szCs w:val="24"/>
        </w:rPr>
        <w:t xml:space="preserve"> The importance of industry experience for board members was emphasized in the prior NYSE report.  For example, the five members of Lehman Brothers’ risk management committee (which met only twice before the company went bankrupt) were an 80 year-old, retired banker, a 73 year-old, retired chairman of IBM, a 77 year-old, retired Broadway show producer, a 50 year-old, former CEO of a Spanish language television station company, and a 60 year-old, retired rear admiral of the U.S. Navy.</w:t>
      </w:r>
    </w:p>
    <w:p w:rsidR="00155105" w:rsidRDefault="00BF19B7" w:rsidP="00155105">
      <w:pPr>
        <w:spacing w:line="240" w:lineRule="auto"/>
        <w:jc w:val="both"/>
        <w:rPr>
          <w:rFonts w:ascii="Arial" w:hAnsi="Arial" w:cs="Arial"/>
          <w:sz w:val="24"/>
          <w:szCs w:val="24"/>
        </w:rPr>
      </w:pPr>
      <w:r>
        <w:rPr>
          <w:rFonts w:ascii="Arial" w:hAnsi="Arial" w:cs="Arial"/>
          <w:b/>
          <w:sz w:val="24"/>
          <w:szCs w:val="24"/>
        </w:rPr>
        <w:lastRenderedPageBreak/>
        <w:tab/>
      </w:r>
      <w:r w:rsidRPr="00BF19B7">
        <w:rPr>
          <w:rFonts w:ascii="Arial" w:hAnsi="Arial" w:cs="Arial"/>
          <w:sz w:val="24"/>
          <w:szCs w:val="24"/>
        </w:rPr>
        <w:t>“Mature” (</w:t>
      </w:r>
      <w:r>
        <w:rPr>
          <w:rFonts w:ascii="Arial" w:hAnsi="Arial" w:cs="Arial"/>
          <w:sz w:val="24"/>
          <w:szCs w:val="24"/>
        </w:rPr>
        <w:t>o</w:t>
      </w:r>
      <w:r w:rsidRPr="00BF19B7">
        <w:rPr>
          <w:rFonts w:ascii="Arial" w:hAnsi="Arial" w:cs="Arial"/>
          <w:sz w:val="24"/>
          <w:szCs w:val="24"/>
        </w:rPr>
        <w:t>ld</w:t>
      </w:r>
      <w:r>
        <w:rPr>
          <w:rFonts w:ascii="Arial" w:hAnsi="Arial" w:cs="Arial"/>
          <w:sz w:val="24"/>
          <w:szCs w:val="24"/>
        </w:rPr>
        <w:t>)</w:t>
      </w:r>
      <w:r w:rsidRPr="00BF19B7">
        <w:rPr>
          <w:rFonts w:ascii="Arial" w:hAnsi="Arial" w:cs="Arial"/>
          <w:sz w:val="24"/>
          <w:szCs w:val="24"/>
        </w:rPr>
        <w:t xml:space="preserve"> directors </w:t>
      </w:r>
      <w:r>
        <w:rPr>
          <w:rFonts w:ascii="Arial" w:hAnsi="Arial" w:cs="Arial"/>
          <w:sz w:val="24"/>
          <w:szCs w:val="24"/>
        </w:rPr>
        <w:t xml:space="preserve">(over 70 years old) </w:t>
      </w:r>
      <w:r w:rsidRPr="00BF19B7">
        <w:rPr>
          <w:rFonts w:ascii="Arial" w:hAnsi="Arial" w:cs="Arial"/>
          <w:sz w:val="24"/>
          <w:szCs w:val="24"/>
        </w:rPr>
        <w:t xml:space="preserve">have been found to be a hindrance on performance in various </w:t>
      </w:r>
      <w:r>
        <w:rPr>
          <w:rFonts w:ascii="Arial" w:hAnsi="Arial" w:cs="Arial"/>
          <w:sz w:val="24"/>
          <w:szCs w:val="24"/>
        </w:rPr>
        <w:t xml:space="preserve">empirical </w:t>
      </w:r>
      <w:r w:rsidRPr="00BF19B7">
        <w:rPr>
          <w:rFonts w:ascii="Arial" w:hAnsi="Arial" w:cs="Arial"/>
          <w:sz w:val="24"/>
          <w:szCs w:val="24"/>
        </w:rPr>
        <w:t>studies</w:t>
      </w:r>
      <w:r>
        <w:rPr>
          <w:rFonts w:ascii="Arial" w:hAnsi="Arial" w:cs="Arial"/>
          <w:sz w:val="24"/>
          <w:szCs w:val="24"/>
        </w:rPr>
        <w:t xml:space="preserve"> </w:t>
      </w:r>
      <w:r w:rsidRPr="00035E07">
        <w:rPr>
          <w:rFonts w:ascii="Arial" w:hAnsi="Arial" w:cs="Arial"/>
          <w:sz w:val="24"/>
          <w:szCs w:val="24"/>
        </w:rPr>
        <w:t>(</w:t>
      </w:r>
      <w:proofErr w:type="spellStart"/>
      <w:r w:rsidRPr="00035E07">
        <w:rPr>
          <w:rFonts w:ascii="Arial" w:hAnsi="Arial" w:cs="Arial"/>
          <w:sz w:val="24"/>
          <w:szCs w:val="24"/>
        </w:rPr>
        <w:t>Allemand</w:t>
      </w:r>
      <w:proofErr w:type="spellEnd"/>
      <w:r w:rsidRPr="00035E07">
        <w:rPr>
          <w:rFonts w:ascii="Arial" w:hAnsi="Arial" w:cs="Arial"/>
          <w:sz w:val="24"/>
          <w:szCs w:val="24"/>
        </w:rPr>
        <w:t xml:space="preserve"> et. al. 2013, Grove et. al. 2011</w:t>
      </w:r>
      <w:r>
        <w:rPr>
          <w:rFonts w:ascii="Arial" w:hAnsi="Arial" w:cs="Arial"/>
          <w:sz w:val="24"/>
          <w:szCs w:val="24"/>
        </w:rPr>
        <w:t>) and some companies have instituted a retirement age of 70.  I</w:t>
      </w:r>
      <w:r w:rsidR="00155105" w:rsidRPr="00155105">
        <w:rPr>
          <w:rFonts w:ascii="Arial" w:hAnsi="Arial" w:cs="Arial"/>
          <w:sz w:val="24"/>
          <w:szCs w:val="24"/>
        </w:rPr>
        <w:t>n terms of the monitoring role of the board</w:t>
      </w:r>
      <w:r w:rsidR="00F46E82">
        <w:rPr>
          <w:rFonts w:ascii="Arial" w:hAnsi="Arial" w:cs="Arial"/>
          <w:sz w:val="24"/>
          <w:szCs w:val="24"/>
        </w:rPr>
        <w:t xml:space="preserve">, </w:t>
      </w:r>
      <w:r w:rsidR="00155105" w:rsidRPr="00155105">
        <w:rPr>
          <w:rFonts w:ascii="Arial" w:hAnsi="Arial" w:cs="Arial"/>
          <w:sz w:val="24"/>
          <w:szCs w:val="24"/>
        </w:rPr>
        <w:t xml:space="preserve">directors </w:t>
      </w:r>
      <w:r w:rsidR="009966B5">
        <w:rPr>
          <w:rFonts w:ascii="Arial" w:hAnsi="Arial" w:cs="Arial"/>
          <w:sz w:val="24"/>
          <w:szCs w:val="24"/>
        </w:rPr>
        <w:t>should</w:t>
      </w:r>
      <w:r w:rsidR="00F46E82">
        <w:rPr>
          <w:rFonts w:ascii="Arial" w:hAnsi="Arial" w:cs="Arial"/>
          <w:sz w:val="24"/>
          <w:szCs w:val="24"/>
        </w:rPr>
        <w:t xml:space="preserve"> </w:t>
      </w:r>
      <w:r w:rsidR="00155105" w:rsidRPr="00155105">
        <w:rPr>
          <w:rFonts w:ascii="Arial" w:hAnsi="Arial" w:cs="Arial"/>
          <w:sz w:val="24"/>
          <w:szCs w:val="24"/>
        </w:rPr>
        <w:t>have the skills, the time</w:t>
      </w:r>
      <w:r w:rsidR="00F46E82">
        <w:rPr>
          <w:rFonts w:ascii="Arial" w:hAnsi="Arial" w:cs="Arial"/>
          <w:sz w:val="24"/>
          <w:szCs w:val="24"/>
        </w:rPr>
        <w:t>,</w:t>
      </w:r>
      <w:r w:rsidR="00155105" w:rsidRPr="00155105">
        <w:rPr>
          <w:rFonts w:ascii="Arial" w:hAnsi="Arial" w:cs="Arial"/>
          <w:sz w:val="24"/>
          <w:szCs w:val="24"/>
        </w:rPr>
        <w:t xml:space="preserve"> and conditions to perform th</w:t>
      </w:r>
      <w:r w:rsidR="00F46E82">
        <w:rPr>
          <w:rFonts w:ascii="Arial" w:hAnsi="Arial" w:cs="Arial"/>
          <w:sz w:val="24"/>
          <w:szCs w:val="24"/>
        </w:rPr>
        <w:t>e role. Thus,</w:t>
      </w:r>
      <w:r w:rsidR="00155105" w:rsidRPr="00155105">
        <w:rPr>
          <w:rFonts w:ascii="Arial" w:hAnsi="Arial" w:cs="Arial"/>
          <w:sz w:val="24"/>
          <w:szCs w:val="24"/>
        </w:rPr>
        <w:t xml:space="preserve"> busy directors may not have the time to review company activit</w:t>
      </w:r>
      <w:r w:rsidR="009966B5">
        <w:rPr>
          <w:rFonts w:ascii="Arial" w:hAnsi="Arial" w:cs="Arial"/>
          <w:sz w:val="24"/>
          <w:szCs w:val="24"/>
        </w:rPr>
        <w:t>ies and</w:t>
      </w:r>
      <w:r w:rsidR="00155105" w:rsidRPr="00155105">
        <w:rPr>
          <w:rFonts w:ascii="Arial" w:hAnsi="Arial" w:cs="Arial"/>
          <w:sz w:val="24"/>
          <w:szCs w:val="24"/>
        </w:rPr>
        <w:t xml:space="preserve"> older directors may not have the energy and motivation</w:t>
      </w:r>
      <w:r w:rsidR="00F46E82" w:rsidRPr="00F46E82">
        <w:rPr>
          <w:rFonts w:ascii="Arial" w:hAnsi="Arial" w:cs="Arial"/>
          <w:sz w:val="24"/>
          <w:szCs w:val="24"/>
        </w:rPr>
        <w:t xml:space="preserve"> </w:t>
      </w:r>
      <w:r w:rsidR="00F46E82" w:rsidRPr="00155105">
        <w:rPr>
          <w:rFonts w:ascii="Arial" w:hAnsi="Arial" w:cs="Arial"/>
          <w:sz w:val="24"/>
          <w:szCs w:val="24"/>
        </w:rPr>
        <w:t>(Ferris el al., 2003; Harris &amp; Shimizu, 2004)</w:t>
      </w:r>
      <w:r w:rsidR="00F46E82">
        <w:rPr>
          <w:rFonts w:ascii="Arial" w:hAnsi="Arial" w:cs="Arial"/>
          <w:sz w:val="24"/>
          <w:szCs w:val="24"/>
        </w:rPr>
        <w:t>.</w:t>
      </w:r>
      <w:r w:rsidR="009966B5">
        <w:rPr>
          <w:rFonts w:ascii="Arial" w:hAnsi="Arial" w:cs="Arial"/>
          <w:sz w:val="24"/>
          <w:szCs w:val="24"/>
        </w:rPr>
        <w:t xml:space="preserve">  All boards of publicly-listed companies on the NYSE and the NASDAQ must now have a majority of independent directors per the listing requirements of these stock exchanges.</w:t>
      </w:r>
    </w:p>
    <w:p w:rsidR="00BF19B7" w:rsidRDefault="00F46E82" w:rsidP="00BF19B7">
      <w:pPr>
        <w:spacing w:line="240" w:lineRule="auto"/>
        <w:ind w:firstLine="720"/>
        <w:jc w:val="both"/>
        <w:rPr>
          <w:rFonts w:ascii="Arial" w:hAnsi="Arial" w:cs="Arial"/>
          <w:sz w:val="24"/>
          <w:szCs w:val="24"/>
        </w:rPr>
      </w:pPr>
      <w:r>
        <w:rPr>
          <w:rFonts w:ascii="Arial" w:hAnsi="Arial" w:cs="Arial"/>
          <w:sz w:val="24"/>
          <w:szCs w:val="24"/>
        </w:rPr>
        <w:t>B</w:t>
      </w:r>
      <w:r w:rsidR="00BF19B7" w:rsidRPr="00155105">
        <w:rPr>
          <w:rFonts w:ascii="Arial" w:hAnsi="Arial" w:cs="Arial"/>
          <w:sz w:val="24"/>
          <w:szCs w:val="24"/>
        </w:rPr>
        <w:t xml:space="preserve">y focusing on </w:t>
      </w:r>
      <w:r>
        <w:rPr>
          <w:rFonts w:ascii="Arial" w:hAnsi="Arial" w:cs="Arial"/>
          <w:sz w:val="24"/>
          <w:szCs w:val="24"/>
        </w:rPr>
        <w:t xml:space="preserve">such </w:t>
      </w:r>
      <w:r w:rsidR="00BF19B7" w:rsidRPr="00155105">
        <w:rPr>
          <w:rFonts w:ascii="Arial" w:hAnsi="Arial" w:cs="Arial"/>
          <w:sz w:val="24"/>
          <w:szCs w:val="24"/>
        </w:rPr>
        <w:t xml:space="preserve">specific board variables, </w:t>
      </w:r>
      <w:r>
        <w:rPr>
          <w:rFonts w:ascii="Arial" w:hAnsi="Arial" w:cs="Arial"/>
          <w:sz w:val="24"/>
          <w:szCs w:val="24"/>
        </w:rPr>
        <w:t>both company performance and stock market performance have been investigated and a more comprehensive corporate governance approach has been advocated to help improve such performances</w:t>
      </w:r>
      <w:r w:rsidR="00BF19B7" w:rsidRPr="00155105">
        <w:rPr>
          <w:rFonts w:ascii="Arial" w:hAnsi="Arial" w:cs="Arial"/>
          <w:sz w:val="24"/>
          <w:szCs w:val="24"/>
        </w:rPr>
        <w:t xml:space="preserve"> </w:t>
      </w:r>
      <w:r>
        <w:rPr>
          <w:rFonts w:ascii="Arial" w:hAnsi="Arial" w:cs="Arial"/>
          <w:sz w:val="24"/>
          <w:szCs w:val="24"/>
        </w:rPr>
        <w:t>(</w:t>
      </w:r>
      <w:proofErr w:type="spellStart"/>
      <w:r w:rsidR="00BF19B7" w:rsidRPr="00155105">
        <w:rPr>
          <w:rFonts w:ascii="Arial" w:hAnsi="Arial" w:cs="Arial"/>
          <w:sz w:val="24"/>
          <w:szCs w:val="24"/>
        </w:rPr>
        <w:t>Larcker</w:t>
      </w:r>
      <w:proofErr w:type="spellEnd"/>
      <w:r w:rsidR="00BF19B7" w:rsidRPr="00155105">
        <w:rPr>
          <w:rFonts w:ascii="Arial" w:hAnsi="Arial" w:cs="Arial"/>
          <w:sz w:val="24"/>
          <w:szCs w:val="24"/>
        </w:rPr>
        <w:t xml:space="preserve"> et al. 2007</w:t>
      </w:r>
      <w:r>
        <w:rPr>
          <w:rFonts w:ascii="Arial" w:hAnsi="Arial" w:cs="Arial"/>
          <w:sz w:val="24"/>
          <w:szCs w:val="24"/>
        </w:rPr>
        <w:t xml:space="preserve"> and Grove et. </w:t>
      </w:r>
      <w:r w:rsidR="001C7D5E">
        <w:rPr>
          <w:rFonts w:ascii="Arial" w:hAnsi="Arial" w:cs="Arial"/>
          <w:sz w:val="24"/>
          <w:szCs w:val="24"/>
        </w:rPr>
        <w:t>a</w:t>
      </w:r>
      <w:r>
        <w:rPr>
          <w:rFonts w:ascii="Arial" w:hAnsi="Arial" w:cs="Arial"/>
          <w:sz w:val="24"/>
          <w:szCs w:val="24"/>
        </w:rPr>
        <w:t xml:space="preserve">l. 2011).  In this paper, we extend such analyses by </w:t>
      </w:r>
      <w:r w:rsidR="00B658B8">
        <w:rPr>
          <w:rFonts w:ascii="Arial" w:hAnsi="Arial" w:cs="Arial"/>
          <w:sz w:val="24"/>
          <w:szCs w:val="24"/>
        </w:rPr>
        <w:t>investigating</w:t>
      </w:r>
      <w:r>
        <w:rPr>
          <w:rFonts w:ascii="Arial" w:hAnsi="Arial" w:cs="Arial"/>
          <w:sz w:val="24"/>
          <w:szCs w:val="24"/>
        </w:rPr>
        <w:t xml:space="preserve"> a relationship </w:t>
      </w:r>
      <w:r w:rsidR="00B658B8">
        <w:rPr>
          <w:rFonts w:ascii="Arial" w:hAnsi="Arial" w:cs="Arial"/>
          <w:sz w:val="24"/>
          <w:szCs w:val="24"/>
        </w:rPr>
        <w:t>between</w:t>
      </w:r>
      <w:r>
        <w:rPr>
          <w:rFonts w:ascii="Arial" w:hAnsi="Arial" w:cs="Arial"/>
          <w:sz w:val="24"/>
          <w:szCs w:val="24"/>
        </w:rPr>
        <w:t xml:space="preserve"> </w:t>
      </w:r>
      <w:r w:rsidR="00B658B8">
        <w:rPr>
          <w:rFonts w:ascii="Arial" w:hAnsi="Arial" w:cs="Arial"/>
          <w:sz w:val="24"/>
          <w:szCs w:val="24"/>
        </w:rPr>
        <w:t xml:space="preserve">such </w:t>
      </w:r>
      <w:r>
        <w:rPr>
          <w:rFonts w:ascii="Arial" w:hAnsi="Arial" w:cs="Arial"/>
          <w:sz w:val="24"/>
          <w:szCs w:val="24"/>
        </w:rPr>
        <w:t xml:space="preserve">corporate governance variables </w:t>
      </w:r>
      <w:r w:rsidR="00B658B8">
        <w:rPr>
          <w:rFonts w:ascii="Arial" w:hAnsi="Arial" w:cs="Arial"/>
          <w:sz w:val="24"/>
          <w:szCs w:val="24"/>
        </w:rPr>
        <w:t>and</w:t>
      </w:r>
      <w:r>
        <w:rPr>
          <w:rFonts w:ascii="Arial" w:hAnsi="Arial" w:cs="Arial"/>
          <w:sz w:val="24"/>
          <w:szCs w:val="24"/>
        </w:rPr>
        <w:t xml:space="preserve"> market capitalization.  We specifically investigate the market capitalization destruction of the largest six (“Big 6”</w:t>
      </w:r>
      <w:r w:rsidR="00B658B8">
        <w:rPr>
          <w:rFonts w:ascii="Arial" w:hAnsi="Arial" w:cs="Arial"/>
          <w:sz w:val="24"/>
          <w:szCs w:val="24"/>
        </w:rPr>
        <w:t>)</w:t>
      </w:r>
      <w:r>
        <w:rPr>
          <w:rFonts w:ascii="Arial" w:hAnsi="Arial" w:cs="Arial"/>
          <w:sz w:val="24"/>
          <w:szCs w:val="24"/>
        </w:rPr>
        <w:t xml:space="preserve"> gold mining companies</w:t>
      </w:r>
      <w:r w:rsidR="009966B5">
        <w:rPr>
          <w:rFonts w:ascii="Arial" w:hAnsi="Arial" w:cs="Arial"/>
          <w:sz w:val="24"/>
          <w:szCs w:val="24"/>
        </w:rPr>
        <w:t xml:space="preserve"> publicly-listed in the U.S.</w:t>
      </w:r>
    </w:p>
    <w:p w:rsidR="00B658B8" w:rsidRPr="00B658B8" w:rsidRDefault="00B658B8" w:rsidP="00B658B8">
      <w:pPr>
        <w:spacing w:line="240" w:lineRule="auto"/>
        <w:jc w:val="center"/>
        <w:rPr>
          <w:rFonts w:ascii="Arial" w:hAnsi="Arial" w:cs="Arial"/>
          <w:b/>
          <w:sz w:val="24"/>
          <w:szCs w:val="24"/>
        </w:rPr>
      </w:pPr>
      <w:r>
        <w:rPr>
          <w:rFonts w:ascii="Arial" w:hAnsi="Arial" w:cs="Arial"/>
          <w:b/>
          <w:sz w:val="24"/>
          <w:szCs w:val="24"/>
        </w:rPr>
        <w:t>Corporate Governance Results</w:t>
      </w:r>
    </w:p>
    <w:p w:rsidR="00B658B8" w:rsidRDefault="00B658B8" w:rsidP="00B658B8">
      <w:pPr>
        <w:rPr>
          <w:rFonts w:ascii="Arial" w:hAnsi="Arial" w:cs="Arial"/>
          <w:sz w:val="24"/>
          <w:szCs w:val="24"/>
        </w:rPr>
      </w:pPr>
      <w:r>
        <w:rPr>
          <w:rFonts w:ascii="Arial" w:hAnsi="Arial" w:cs="Arial"/>
          <w:b/>
          <w:sz w:val="24"/>
          <w:szCs w:val="24"/>
        </w:rPr>
        <w:tab/>
      </w:r>
      <w:r>
        <w:rPr>
          <w:rFonts w:ascii="Arial" w:hAnsi="Arial" w:cs="Arial"/>
          <w:sz w:val="24"/>
          <w:szCs w:val="24"/>
        </w:rPr>
        <w:t>We hand-collected corporate governance variables from SCHEDULE 14A, Proxy Statement pursuant to Section 14(a) of the U.S. Securities Exchange Act of 1934, for Newmont Mining Corporation, the only U.S. gold mining company examined here.  The other five gold mining companies are Canadian companies, dual-listed on the Toronto Stock Exchange and the New York Stock Exchange.  Their corporate governance data was hand-collected from FORM 40-F, Annual Report filed by non-U.S. companies pursuant to Section 13(a) of the U.S. Securities Exchange Act of 1934.  T</w:t>
      </w:r>
      <w:r w:rsidR="009966B5">
        <w:rPr>
          <w:rFonts w:ascii="Arial" w:hAnsi="Arial" w:cs="Arial"/>
          <w:sz w:val="24"/>
          <w:szCs w:val="24"/>
        </w:rPr>
        <w:t>en</w:t>
      </w:r>
      <w:r>
        <w:rPr>
          <w:rFonts w:ascii="Arial" w:hAnsi="Arial" w:cs="Arial"/>
          <w:sz w:val="24"/>
          <w:szCs w:val="24"/>
        </w:rPr>
        <w:t xml:space="preserve"> </w:t>
      </w:r>
      <w:r w:rsidR="009966B5">
        <w:rPr>
          <w:rFonts w:ascii="Arial" w:hAnsi="Arial" w:cs="Arial"/>
          <w:sz w:val="24"/>
          <w:szCs w:val="24"/>
        </w:rPr>
        <w:t>different</w:t>
      </w:r>
      <w:r>
        <w:rPr>
          <w:rFonts w:ascii="Arial" w:hAnsi="Arial" w:cs="Arial"/>
          <w:sz w:val="24"/>
          <w:szCs w:val="24"/>
        </w:rPr>
        <w:t xml:space="preserve"> corporate governance variables </w:t>
      </w:r>
      <w:r w:rsidR="00C11376">
        <w:rPr>
          <w:rFonts w:ascii="Arial" w:hAnsi="Arial" w:cs="Arial"/>
          <w:sz w:val="24"/>
          <w:szCs w:val="24"/>
        </w:rPr>
        <w:t xml:space="preserve">were compiled </w:t>
      </w:r>
      <w:r>
        <w:rPr>
          <w:rFonts w:ascii="Arial" w:hAnsi="Arial" w:cs="Arial"/>
          <w:sz w:val="24"/>
          <w:szCs w:val="24"/>
        </w:rPr>
        <w:t>as follows:</w:t>
      </w:r>
    </w:p>
    <w:p w:rsidR="00B658B8" w:rsidRDefault="00B658B8" w:rsidP="00B658B8">
      <w:pPr>
        <w:pStyle w:val="ListParagraph"/>
        <w:numPr>
          <w:ilvl w:val="0"/>
          <w:numId w:val="5"/>
        </w:numPr>
        <w:rPr>
          <w:rFonts w:ascii="Arial" w:hAnsi="Arial" w:cs="Arial"/>
          <w:sz w:val="24"/>
          <w:szCs w:val="24"/>
        </w:rPr>
      </w:pPr>
      <w:r>
        <w:rPr>
          <w:rFonts w:ascii="Arial" w:hAnsi="Arial" w:cs="Arial"/>
          <w:sz w:val="24"/>
          <w:szCs w:val="24"/>
        </w:rPr>
        <w:t>CEO Duality</w:t>
      </w:r>
    </w:p>
    <w:p w:rsidR="00B658B8" w:rsidRDefault="00B658B8" w:rsidP="00B658B8">
      <w:pPr>
        <w:pStyle w:val="ListParagraph"/>
        <w:numPr>
          <w:ilvl w:val="0"/>
          <w:numId w:val="5"/>
        </w:numPr>
        <w:rPr>
          <w:rFonts w:ascii="Arial" w:hAnsi="Arial" w:cs="Arial"/>
          <w:sz w:val="24"/>
          <w:szCs w:val="24"/>
        </w:rPr>
      </w:pPr>
      <w:r>
        <w:rPr>
          <w:rFonts w:ascii="Arial" w:hAnsi="Arial" w:cs="Arial"/>
          <w:sz w:val="24"/>
          <w:szCs w:val="24"/>
        </w:rPr>
        <w:t>Board Entrenchment</w:t>
      </w:r>
      <w:r w:rsidR="00C11376">
        <w:rPr>
          <w:rFonts w:ascii="Arial" w:hAnsi="Arial" w:cs="Arial"/>
          <w:sz w:val="24"/>
          <w:szCs w:val="24"/>
        </w:rPr>
        <w:t xml:space="preserve"> (two different measures)</w:t>
      </w:r>
    </w:p>
    <w:p w:rsidR="00B658B8" w:rsidRDefault="00B658B8" w:rsidP="00B658B8">
      <w:pPr>
        <w:pStyle w:val="ListParagraph"/>
        <w:numPr>
          <w:ilvl w:val="0"/>
          <w:numId w:val="5"/>
        </w:numPr>
        <w:rPr>
          <w:rFonts w:ascii="Arial" w:hAnsi="Arial" w:cs="Arial"/>
          <w:sz w:val="24"/>
          <w:szCs w:val="24"/>
        </w:rPr>
      </w:pPr>
      <w:r>
        <w:rPr>
          <w:rFonts w:ascii="Arial" w:hAnsi="Arial" w:cs="Arial"/>
          <w:sz w:val="24"/>
          <w:szCs w:val="24"/>
        </w:rPr>
        <w:t>Debt to Market Capitalization</w:t>
      </w:r>
    </w:p>
    <w:p w:rsidR="00B658B8" w:rsidRDefault="00B658B8" w:rsidP="00B658B8">
      <w:pPr>
        <w:pStyle w:val="ListParagraph"/>
        <w:numPr>
          <w:ilvl w:val="0"/>
          <w:numId w:val="5"/>
        </w:numPr>
        <w:rPr>
          <w:rFonts w:ascii="Arial" w:hAnsi="Arial" w:cs="Arial"/>
          <w:sz w:val="24"/>
          <w:szCs w:val="24"/>
        </w:rPr>
      </w:pPr>
      <w:r>
        <w:rPr>
          <w:rFonts w:ascii="Arial" w:hAnsi="Arial" w:cs="Arial"/>
          <w:sz w:val="24"/>
          <w:szCs w:val="24"/>
        </w:rPr>
        <w:t>Board Size</w:t>
      </w:r>
    </w:p>
    <w:p w:rsidR="00B658B8" w:rsidRDefault="00B658B8" w:rsidP="00B658B8">
      <w:pPr>
        <w:pStyle w:val="ListParagraph"/>
        <w:numPr>
          <w:ilvl w:val="0"/>
          <w:numId w:val="5"/>
        </w:numPr>
        <w:rPr>
          <w:rFonts w:ascii="Arial" w:hAnsi="Arial" w:cs="Arial"/>
          <w:sz w:val="24"/>
          <w:szCs w:val="24"/>
        </w:rPr>
      </w:pPr>
      <w:r>
        <w:rPr>
          <w:rFonts w:ascii="Arial" w:hAnsi="Arial" w:cs="Arial"/>
          <w:sz w:val="24"/>
          <w:szCs w:val="24"/>
        </w:rPr>
        <w:t>Women on Boards</w:t>
      </w:r>
    </w:p>
    <w:p w:rsidR="00B658B8" w:rsidRDefault="00B658B8" w:rsidP="00B658B8">
      <w:pPr>
        <w:pStyle w:val="ListParagraph"/>
        <w:numPr>
          <w:ilvl w:val="0"/>
          <w:numId w:val="5"/>
        </w:numPr>
        <w:rPr>
          <w:rFonts w:ascii="Arial" w:hAnsi="Arial" w:cs="Arial"/>
          <w:sz w:val="24"/>
          <w:szCs w:val="24"/>
        </w:rPr>
      </w:pPr>
      <w:r>
        <w:rPr>
          <w:rFonts w:ascii="Arial" w:hAnsi="Arial" w:cs="Arial"/>
          <w:sz w:val="24"/>
          <w:szCs w:val="24"/>
        </w:rPr>
        <w:t>“Mature” (Old) Directors</w:t>
      </w:r>
      <w:r w:rsidR="00C11376">
        <w:rPr>
          <w:rFonts w:ascii="Arial" w:hAnsi="Arial" w:cs="Arial"/>
          <w:sz w:val="24"/>
          <w:szCs w:val="24"/>
        </w:rPr>
        <w:t xml:space="preserve"> (two different measures)</w:t>
      </w:r>
    </w:p>
    <w:p w:rsidR="00483267" w:rsidRDefault="00483267" w:rsidP="00B658B8">
      <w:pPr>
        <w:pStyle w:val="ListParagraph"/>
        <w:numPr>
          <w:ilvl w:val="0"/>
          <w:numId w:val="5"/>
        </w:numPr>
        <w:rPr>
          <w:rFonts w:ascii="Arial" w:hAnsi="Arial" w:cs="Arial"/>
          <w:sz w:val="24"/>
          <w:szCs w:val="24"/>
        </w:rPr>
      </w:pPr>
      <w:r>
        <w:rPr>
          <w:rFonts w:ascii="Arial" w:hAnsi="Arial" w:cs="Arial"/>
          <w:sz w:val="24"/>
          <w:szCs w:val="24"/>
        </w:rPr>
        <w:t>Busy Directors</w:t>
      </w:r>
    </w:p>
    <w:p w:rsidR="00483267" w:rsidRDefault="00483267" w:rsidP="00B658B8">
      <w:pPr>
        <w:pStyle w:val="ListParagraph"/>
        <w:numPr>
          <w:ilvl w:val="0"/>
          <w:numId w:val="5"/>
        </w:numPr>
        <w:rPr>
          <w:rFonts w:ascii="Arial" w:hAnsi="Arial" w:cs="Arial"/>
          <w:sz w:val="24"/>
          <w:szCs w:val="24"/>
        </w:rPr>
      </w:pPr>
      <w:r>
        <w:rPr>
          <w:rFonts w:ascii="Arial" w:hAnsi="Arial" w:cs="Arial"/>
          <w:sz w:val="24"/>
          <w:szCs w:val="24"/>
        </w:rPr>
        <w:t>Insiders on Boards</w:t>
      </w:r>
    </w:p>
    <w:p w:rsidR="00483267" w:rsidRDefault="00483267" w:rsidP="00483267">
      <w:pPr>
        <w:rPr>
          <w:rFonts w:ascii="Arial" w:hAnsi="Arial" w:cs="Arial"/>
          <w:sz w:val="24"/>
          <w:szCs w:val="24"/>
        </w:rPr>
      </w:pPr>
      <w:r>
        <w:rPr>
          <w:rFonts w:ascii="Arial" w:hAnsi="Arial" w:cs="Arial"/>
          <w:sz w:val="24"/>
          <w:szCs w:val="24"/>
        </w:rPr>
        <w:t xml:space="preserve">Other corporate governance variables, like </w:t>
      </w:r>
      <w:r w:rsidR="00C11376">
        <w:rPr>
          <w:rFonts w:ascii="Arial" w:hAnsi="Arial" w:cs="Arial"/>
          <w:sz w:val="24"/>
          <w:szCs w:val="24"/>
        </w:rPr>
        <w:t xml:space="preserve">short-term compensation mix, </w:t>
      </w:r>
      <w:r>
        <w:rPr>
          <w:rFonts w:ascii="Arial" w:hAnsi="Arial" w:cs="Arial"/>
          <w:sz w:val="24"/>
          <w:szCs w:val="24"/>
        </w:rPr>
        <w:t>number of board meetings, poison pills, and block</w:t>
      </w:r>
      <w:r w:rsidR="00495576">
        <w:rPr>
          <w:rFonts w:ascii="Arial" w:hAnsi="Arial" w:cs="Arial"/>
          <w:sz w:val="24"/>
          <w:szCs w:val="24"/>
        </w:rPr>
        <w:t xml:space="preserve"> </w:t>
      </w:r>
      <w:r>
        <w:rPr>
          <w:rFonts w:ascii="Arial" w:hAnsi="Arial" w:cs="Arial"/>
          <w:sz w:val="24"/>
          <w:szCs w:val="24"/>
        </w:rPr>
        <w:t>holders, w</w:t>
      </w:r>
      <w:r w:rsidR="00C11376">
        <w:rPr>
          <w:rFonts w:ascii="Arial" w:hAnsi="Arial" w:cs="Arial"/>
          <w:sz w:val="24"/>
          <w:szCs w:val="24"/>
        </w:rPr>
        <w:t>ere</w:t>
      </w:r>
      <w:r>
        <w:rPr>
          <w:rFonts w:ascii="Arial" w:hAnsi="Arial" w:cs="Arial"/>
          <w:sz w:val="24"/>
          <w:szCs w:val="24"/>
        </w:rPr>
        <w:t xml:space="preserve"> not readily available in the above government reports. </w:t>
      </w:r>
    </w:p>
    <w:p w:rsidR="00483267" w:rsidRDefault="00483267" w:rsidP="00483267">
      <w:pPr>
        <w:rPr>
          <w:rFonts w:ascii="Arial" w:hAnsi="Arial" w:cs="Arial"/>
          <w:sz w:val="24"/>
          <w:szCs w:val="24"/>
        </w:rPr>
      </w:pPr>
      <w:r>
        <w:rPr>
          <w:rFonts w:ascii="Arial" w:hAnsi="Arial" w:cs="Arial"/>
          <w:sz w:val="24"/>
          <w:szCs w:val="24"/>
        </w:rPr>
        <w:tab/>
        <w:t xml:space="preserve">Results are shown in Table 1 for these </w:t>
      </w:r>
      <w:r w:rsidR="00C11376">
        <w:rPr>
          <w:rFonts w:ascii="Arial" w:hAnsi="Arial" w:cs="Arial"/>
          <w:sz w:val="24"/>
          <w:szCs w:val="24"/>
        </w:rPr>
        <w:t>ten</w:t>
      </w:r>
      <w:r>
        <w:rPr>
          <w:rFonts w:ascii="Arial" w:hAnsi="Arial" w:cs="Arial"/>
          <w:sz w:val="24"/>
          <w:szCs w:val="24"/>
        </w:rPr>
        <w:t xml:space="preserve"> corporate governance variables.  They were assessed using </w:t>
      </w:r>
      <w:r w:rsidR="00C11376">
        <w:rPr>
          <w:rFonts w:ascii="Arial" w:hAnsi="Arial" w:cs="Arial"/>
          <w:sz w:val="24"/>
          <w:szCs w:val="24"/>
        </w:rPr>
        <w:t>a</w:t>
      </w:r>
      <w:r>
        <w:rPr>
          <w:rFonts w:ascii="Arial" w:hAnsi="Arial" w:cs="Arial"/>
          <w:sz w:val="24"/>
          <w:szCs w:val="24"/>
        </w:rPr>
        <w:t xml:space="preserve"> “dummy” variable approach, either ON as 1 or OFF as 0, depending upon whether the company exceeded the cutoff for each variable.  Cutoffs were established, based upon reasonable level</w:t>
      </w:r>
      <w:r w:rsidR="00C11376">
        <w:rPr>
          <w:rFonts w:ascii="Arial" w:hAnsi="Arial" w:cs="Arial"/>
          <w:sz w:val="24"/>
          <w:szCs w:val="24"/>
        </w:rPr>
        <w:t>s</w:t>
      </w:r>
      <w:r>
        <w:rPr>
          <w:rFonts w:ascii="Arial" w:hAnsi="Arial" w:cs="Arial"/>
          <w:sz w:val="24"/>
          <w:szCs w:val="24"/>
        </w:rPr>
        <w:t xml:space="preserve"> of weakness</w:t>
      </w:r>
      <w:r w:rsidR="00C11376">
        <w:rPr>
          <w:rFonts w:ascii="Arial" w:hAnsi="Arial" w:cs="Arial"/>
          <w:sz w:val="24"/>
          <w:szCs w:val="24"/>
        </w:rPr>
        <w:t>es</w:t>
      </w:r>
      <w:r>
        <w:rPr>
          <w:rFonts w:ascii="Arial" w:hAnsi="Arial" w:cs="Arial"/>
          <w:sz w:val="24"/>
          <w:szCs w:val="24"/>
        </w:rPr>
        <w:t xml:space="preserve"> </w:t>
      </w:r>
      <w:r w:rsidR="00C11376">
        <w:rPr>
          <w:rFonts w:ascii="Arial" w:hAnsi="Arial" w:cs="Arial"/>
          <w:sz w:val="24"/>
          <w:szCs w:val="24"/>
        </w:rPr>
        <w:t>from prior</w:t>
      </w:r>
      <w:r>
        <w:rPr>
          <w:rFonts w:ascii="Arial" w:hAnsi="Arial" w:cs="Arial"/>
          <w:sz w:val="24"/>
          <w:szCs w:val="24"/>
        </w:rPr>
        <w:t xml:space="preserve"> empirical research results.  Then, the </w:t>
      </w:r>
      <w:r w:rsidR="00C11376">
        <w:rPr>
          <w:rFonts w:ascii="Arial" w:hAnsi="Arial" w:cs="Arial"/>
          <w:sz w:val="24"/>
          <w:szCs w:val="24"/>
        </w:rPr>
        <w:t>ON levels</w:t>
      </w:r>
      <w:r>
        <w:rPr>
          <w:rFonts w:ascii="Arial" w:hAnsi="Arial" w:cs="Arial"/>
          <w:sz w:val="24"/>
          <w:szCs w:val="24"/>
        </w:rPr>
        <w:t xml:space="preserve"> were totaled to determine an over</w:t>
      </w:r>
      <w:r w:rsidR="00C11376">
        <w:rPr>
          <w:rFonts w:ascii="Arial" w:hAnsi="Arial" w:cs="Arial"/>
          <w:sz w:val="24"/>
          <w:szCs w:val="24"/>
        </w:rPr>
        <w:t>all</w:t>
      </w:r>
      <w:r>
        <w:rPr>
          <w:rFonts w:ascii="Arial" w:hAnsi="Arial" w:cs="Arial"/>
          <w:sz w:val="24"/>
          <w:szCs w:val="24"/>
        </w:rPr>
        <w:t xml:space="preserve"> corporate </w:t>
      </w:r>
      <w:r>
        <w:rPr>
          <w:rFonts w:ascii="Arial" w:hAnsi="Arial" w:cs="Arial"/>
          <w:sz w:val="24"/>
          <w:szCs w:val="24"/>
        </w:rPr>
        <w:lastRenderedPageBreak/>
        <w:t xml:space="preserve">governance </w:t>
      </w:r>
      <w:r w:rsidR="00C11376">
        <w:rPr>
          <w:rFonts w:ascii="Arial" w:hAnsi="Arial" w:cs="Arial"/>
          <w:sz w:val="24"/>
          <w:szCs w:val="24"/>
        </w:rPr>
        <w:t xml:space="preserve">score </w:t>
      </w:r>
      <w:r>
        <w:rPr>
          <w:rFonts w:ascii="Arial" w:hAnsi="Arial" w:cs="Arial"/>
          <w:sz w:val="24"/>
          <w:szCs w:val="24"/>
        </w:rPr>
        <w:t>for each of these six companies.  The</w:t>
      </w:r>
      <w:r w:rsidR="00C11376">
        <w:rPr>
          <w:rFonts w:ascii="Arial" w:hAnsi="Arial" w:cs="Arial"/>
          <w:sz w:val="24"/>
          <w:szCs w:val="24"/>
        </w:rPr>
        <w:t>y</w:t>
      </w:r>
      <w:r>
        <w:rPr>
          <w:rFonts w:ascii="Arial" w:hAnsi="Arial" w:cs="Arial"/>
          <w:sz w:val="24"/>
          <w:szCs w:val="24"/>
        </w:rPr>
        <w:t xml:space="preserve"> are shown in Table 1 by the</w:t>
      </w:r>
      <w:r w:rsidR="00C11376">
        <w:rPr>
          <w:rFonts w:ascii="Arial" w:hAnsi="Arial" w:cs="Arial"/>
          <w:sz w:val="24"/>
          <w:szCs w:val="24"/>
        </w:rPr>
        <w:t>ir</w:t>
      </w:r>
      <w:r>
        <w:rPr>
          <w:rFonts w:ascii="Arial" w:hAnsi="Arial" w:cs="Arial"/>
          <w:sz w:val="24"/>
          <w:szCs w:val="24"/>
        </w:rPr>
        <w:t xml:space="preserve"> call symbols</w:t>
      </w:r>
      <w:r w:rsidR="00C11376">
        <w:rPr>
          <w:rFonts w:ascii="Arial" w:hAnsi="Arial" w:cs="Arial"/>
          <w:sz w:val="24"/>
          <w:szCs w:val="24"/>
        </w:rPr>
        <w:t>,</w:t>
      </w:r>
      <w:r w:rsidR="00495576">
        <w:rPr>
          <w:rFonts w:ascii="Arial" w:hAnsi="Arial" w:cs="Arial"/>
          <w:sz w:val="24"/>
          <w:szCs w:val="24"/>
        </w:rPr>
        <w:t xml:space="preserve"> along with their percentage of corporate governance red flags </w:t>
      </w:r>
      <w:r w:rsidR="00C11376">
        <w:rPr>
          <w:rFonts w:ascii="Arial" w:hAnsi="Arial" w:cs="Arial"/>
          <w:sz w:val="24"/>
          <w:szCs w:val="24"/>
        </w:rPr>
        <w:t xml:space="preserve">or weaknesses </w:t>
      </w:r>
      <w:r w:rsidR="00495576">
        <w:rPr>
          <w:rFonts w:ascii="Arial" w:hAnsi="Arial" w:cs="Arial"/>
          <w:sz w:val="24"/>
          <w:szCs w:val="24"/>
        </w:rPr>
        <w:t>out of ten possibilities</w:t>
      </w:r>
      <w:r>
        <w:rPr>
          <w:rFonts w:ascii="Arial" w:hAnsi="Arial" w:cs="Arial"/>
          <w:sz w:val="24"/>
          <w:szCs w:val="24"/>
        </w:rPr>
        <w:t>:</w:t>
      </w:r>
    </w:p>
    <w:p w:rsidR="00483267" w:rsidRDefault="00483267" w:rsidP="00483267">
      <w:pPr>
        <w:pStyle w:val="ListParagraph"/>
        <w:numPr>
          <w:ilvl w:val="0"/>
          <w:numId w:val="6"/>
        </w:numPr>
        <w:rPr>
          <w:rFonts w:ascii="Arial" w:hAnsi="Arial" w:cs="Arial"/>
          <w:sz w:val="24"/>
          <w:szCs w:val="24"/>
        </w:rPr>
      </w:pPr>
      <w:r>
        <w:rPr>
          <w:rFonts w:ascii="Arial" w:hAnsi="Arial" w:cs="Arial"/>
          <w:sz w:val="24"/>
          <w:szCs w:val="24"/>
        </w:rPr>
        <w:t xml:space="preserve">ABX is </w:t>
      </w:r>
      <w:proofErr w:type="spellStart"/>
      <w:r w:rsidR="00A471C8">
        <w:rPr>
          <w:rFonts w:ascii="Arial" w:hAnsi="Arial" w:cs="Arial"/>
          <w:sz w:val="24"/>
          <w:szCs w:val="24"/>
        </w:rPr>
        <w:t>Barrick</w:t>
      </w:r>
      <w:proofErr w:type="spellEnd"/>
      <w:r w:rsidR="00A471C8">
        <w:rPr>
          <w:rFonts w:ascii="Arial" w:hAnsi="Arial" w:cs="Arial"/>
          <w:sz w:val="24"/>
          <w:szCs w:val="24"/>
        </w:rPr>
        <w:t xml:space="preserve"> Gold Corporation</w:t>
      </w:r>
      <w:r w:rsidR="00495576">
        <w:rPr>
          <w:rFonts w:ascii="Arial" w:hAnsi="Arial" w:cs="Arial"/>
          <w:sz w:val="24"/>
          <w:szCs w:val="24"/>
        </w:rPr>
        <w:t>: 80%</w:t>
      </w:r>
      <w:r w:rsidR="00B35501">
        <w:rPr>
          <w:rFonts w:ascii="Arial" w:hAnsi="Arial" w:cs="Arial"/>
          <w:sz w:val="24"/>
          <w:szCs w:val="24"/>
        </w:rPr>
        <w:t xml:space="preserve"> (8 out of 10)</w:t>
      </w:r>
    </w:p>
    <w:p w:rsidR="00A471C8" w:rsidRDefault="00A471C8" w:rsidP="00483267">
      <w:pPr>
        <w:pStyle w:val="ListParagraph"/>
        <w:numPr>
          <w:ilvl w:val="0"/>
          <w:numId w:val="6"/>
        </w:numPr>
        <w:rPr>
          <w:rFonts w:ascii="Arial" w:hAnsi="Arial" w:cs="Arial"/>
          <w:sz w:val="24"/>
          <w:szCs w:val="24"/>
        </w:rPr>
      </w:pPr>
      <w:r>
        <w:rPr>
          <w:rFonts w:ascii="Arial" w:hAnsi="Arial" w:cs="Arial"/>
          <w:sz w:val="24"/>
          <w:szCs w:val="24"/>
        </w:rPr>
        <w:t xml:space="preserve">GG is </w:t>
      </w:r>
      <w:r w:rsidR="00495576">
        <w:rPr>
          <w:rFonts w:ascii="Arial" w:hAnsi="Arial" w:cs="Arial"/>
          <w:sz w:val="24"/>
          <w:szCs w:val="24"/>
        </w:rPr>
        <w:t>Goldcorp Inc.: 50%</w:t>
      </w:r>
      <w:r w:rsidR="00B35501">
        <w:rPr>
          <w:rFonts w:ascii="Arial" w:hAnsi="Arial" w:cs="Arial"/>
          <w:sz w:val="24"/>
          <w:szCs w:val="24"/>
        </w:rPr>
        <w:t xml:space="preserve"> (5 out of 10)</w:t>
      </w:r>
    </w:p>
    <w:p w:rsidR="00495576" w:rsidRDefault="00495576" w:rsidP="00483267">
      <w:pPr>
        <w:pStyle w:val="ListParagraph"/>
        <w:numPr>
          <w:ilvl w:val="0"/>
          <w:numId w:val="6"/>
        </w:numPr>
        <w:rPr>
          <w:rFonts w:ascii="Arial" w:hAnsi="Arial" w:cs="Arial"/>
          <w:sz w:val="24"/>
          <w:szCs w:val="24"/>
        </w:rPr>
      </w:pPr>
      <w:r>
        <w:rPr>
          <w:rFonts w:ascii="Arial" w:hAnsi="Arial" w:cs="Arial"/>
          <w:sz w:val="24"/>
          <w:szCs w:val="24"/>
        </w:rPr>
        <w:t>NEM is Newmont Mining Corporation:40%</w:t>
      </w:r>
      <w:r w:rsidR="00B35501">
        <w:rPr>
          <w:rFonts w:ascii="Arial" w:hAnsi="Arial" w:cs="Arial"/>
          <w:sz w:val="24"/>
          <w:szCs w:val="24"/>
        </w:rPr>
        <w:t xml:space="preserve"> (4 out of 10)</w:t>
      </w:r>
    </w:p>
    <w:p w:rsidR="00495576" w:rsidRDefault="00495576" w:rsidP="00483267">
      <w:pPr>
        <w:pStyle w:val="ListParagraph"/>
        <w:numPr>
          <w:ilvl w:val="0"/>
          <w:numId w:val="6"/>
        </w:numPr>
        <w:rPr>
          <w:rFonts w:ascii="Arial" w:hAnsi="Arial" w:cs="Arial"/>
          <w:sz w:val="24"/>
          <w:szCs w:val="24"/>
        </w:rPr>
      </w:pPr>
      <w:r>
        <w:rPr>
          <w:rFonts w:ascii="Arial" w:hAnsi="Arial" w:cs="Arial"/>
          <w:sz w:val="24"/>
          <w:szCs w:val="24"/>
        </w:rPr>
        <w:t>KGC is Kinross Gold Corporation: 50%</w:t>
      </w:r>
      <w:r w:rsidR="00B35501">
        <w:rPr>
          <w:rFonts w:ascii="Arial" w:hAnsi="Arial" w:cs="Arial"/>
          <w:sz w:val="24"/>
          <w:szCs w:val="24"/>
        </w:rPr>
        <w:t xml:space="preserve"> (5 out of 10)</w:t>
      </w:r>
    </w:p>
    <w:p w:rsidR="00495576" w:rsidRDefault="00495576" w:rsidP="00483267">
      <w:pPr>
        <w:pStyle w:val="ListParagraph"/>
        <w:numPr>
          <w:ilvl w:val="0"/>
          <w:numId w:val="6"/>
        </w:numPr>
        <w:rPr>
          <w:rFonts w:ascii="Arial" w:hAnsi="Arial" w:cs="Arial"/>
          <w:sz w:val="24"/>
          <w:szCs w:val="24"/>
        </w:rPr>
      </w:pPr>
      <w:r>
        <w:rPr>
          <w:rFonts w:ascii="Arial" w:hAnsi="Arial" w:cs="Arial"/>
          <w:sz w:val="24"/>
          <w:szCs w:val="24"/>
        </w:rPr>
        <w:t>EGO is Eldorado Gold Corporation: 40%</w:t>
      </w:r>
      <w:r w:rsidR="00B35501">
        <w:rPr>
          <w:rFonts w:ascii="Arial" w:hAnsi="Arial" w:cs="Arial"/>
          <w:sz w:val="24"/>
          <w:szCs w:val="24"/>
        </w:rPr>
        <w:t xml:space="preserve"> (4 out of 10)</w:t>
      </w:r>
    </w:p>
    <w:p w:rsidR="00495576" w:rsidRDefault="00495576" w:rsidP="00483267">
      <w:pPr>
        <w:pStyle w:val="ListParagraph"/>
        <w:numPr>
          <w:ilvl w:val="0"/>
          <w:numId w:val="6"/>
        </w:numPr>
        <w:rPr>
          <w:rFonts w:ascii="Arial" w:hAnsi="Arial" w:cs="Arial"/>
          <w:sz w:val="24"/>
          <w:szCs w:val="24"/>
        </w:rPr>
      </w:pPr>
      <w:r>
        <w:rPr>
          <w:rFonts w:ascii="Arial" w:hAnsi="Arial" w:cs="Arial"/>
          <w:sz w:val="24"/>
          <w:szCs w:val="24"/>
        </w:rPr>
        <w:t>IAG is IAMGOLD Corporation: 30%</w:t>
      </w:r>
      <w:r w:rsidR="00B35501">
        <w:rPr>
          <w:rFonts w:ascii="Arial" w:hAnsi="Arial" w:cs="Arial"/>
          <w:sz w:val="24"/>
          <w:szCs w:val="24"/>
        </w:rPr>
        <w:t xml:space="preserve"> (3 out of 10)</w:t>
      </w:r>
    </w:p>
    <w:p w:rsidR="00495576" w:rsidRDefault="00495576" w:rsidP="00995F17">
      <w:pPr>
        <w:ind w:firstLine="720"/>
        <w:rPr>
          <w:rFonts w:ascii="Arial" w:hAnsi="Arial" w:cs="Arial"/>
          <w:sz w:val="24"/>
          <w:szCs w:val="24"/>
        </w:rPr>
      </w:pPr>
      <w:r>
        <w:rPr>
          <w:rFonts w:ascii="Arial" w:hAnsi="Arial" w:cs="Arial"/>
          <w:sz w:val="24"/>
          <w:szCs w:val="24"/>
        </w:rPr>
        <w:t xml:space="preserve">The </w:t>
      </w:r>
      <w:r w:rsidR="00B35501">
        <w:rPr>
          <w:rFonts w:ascii="Arial" w:hAnsi="Arial" w:cs="Arial"/>
          <w:sz w:val="24"/>
          <w:szCs w:val="24"/>
        </w:rPr>
        <w:t>total</w:t>
      </w:r>
      <w:r>
        <w:rPr>
          <w:rFonts w:ascii="Arial" w:hAnsi="Arial" w:cs="Arial"/>
          <w:sz w:val="24"/>
          <w:szCs w:val="24"/>
        </w:rPr>
        <w:t xml:space="preserve"> number of red flags for each of the six gold mining companies was then correlated with two </w:t>
      </w:r>
      <w:r w:rsidR="00B35501">
        <w:rPr>
          <w:rFonts w:ascii="Arial" w:hAnsi="Arial" w:cs="Arial"/>
          <w:sz w:val="24"/>
          <w:szCs w:val="24"/>
        </w:rPr>
        <w:t xml:space="preserve">different </w:t>
      </w:r>
      <w:r>
        <w:rPr>
          <w:rFonts w:ascii="Arial" w:hAnsi="Arial" w:cs="Arial"/>
          <w:sz w:val="24"/>
          <w:szCs w:val="24"/>
        </w:rPr>
        <w:t xml:space="preserve">periods of market capitalization destruction for </w:t>
      </w:r>
      <w:r w:rsidR="00B35501">
        <w:rPr>
          <w:rFonts w:ascii="Arial" w:hAnsi="Arial" w:cs="Arial"/>
          <w:sz w:val="24"/>
          <w:szCs w:val="24"/>
        </w:rPr>
        <w:t>each of these six</w:t>
      </w:r>
      <w:r>
        <w:rPr>
          <w:rFonts w:ascii="Arial" w:hAnsi="Arial" w:cs="Arial"/>
          <w:sz w:val="24"/>
          <w:szCs w:val="24"/>
        </w:rPr>
        <w:t xml:space="preserve"> companies as follows:</w:t>
      </w:r>
    </w:p>
    <w:p w:rsidR="00495576" w:rsidRDefault="00495576" w:rsidP="00495576">
      <w:pPr>
        <w:pStyle w:val="ListParagraph"/>
        <w:numPr>
          <w:ilvl w:val="0"/>
          <w:numId w:val="7"/>
        </w:numPr>
        <w:rPr>
          <w:rFonts w:ascii="Arial" w:hAnsi="Arial" w:cs="Arial"/>
          <w:sz w:val="24"/>
          <w:szCs w:val="24"/>
        </w:rPr>
      </w:pPr>
      <w:r w:rsidRPr="00495576">
        <w:rPr>
          <w:rFonts w:ascii="Arial" w:hAnsi="Arial" w:cs="Arial"/>
          <w:sz w:val="24"/>
          <w:szCs w:val="24"/>
        </w:rPr>
        <w:t>Two year period from the all-time high gold price of $1,921.15 an ounce on September 6, 2011 to $1,211 an ounce on December 24, 2013.</w:t>
      </w:r>
      <w:r>
        <w:rPr>
          <w:rFonts w:ascii="Arial" w:hAnsi="Arial" w:cs="Arial"/>
          <w:sz w:val="24"/>
          <w:szCs w:val="24"/>
        </w:rPr>
        <w:t xml:space="preserve">  The correlation of th</w:t>
      </w:r>
      <w:r w:rsidR="00B35501">
        <w:rPr>
          <w:rFonts w:ascii="Arial" w:hAnsi="Arial" w:cs="Arial"/>
          <w:sz w:val="24"/>
          <w:szCs w:val="24"/>
        </w:rPr>
        <w:t>e</w:t>
      </w:r>
      <w:r>
        <w:rPr>
          <w:rFonts w:ascii="Arial" w:hAnsi="Arial" w:cs="Arial"/>
          <w:sz w:val="24"/>
          <w:szCs w:val="24"/>
        </w:rPr>
        <w:t xml:space="preserve"> summary corporate gover</w:t>
      </w:r>
      <w:r w:rsidR="00B35501">
        <w:rPr>
          <w:rFonts w:ascii="Arial" w:hAnsi="Arial" w:cs="Arial"/>
          <w:sz w:val="24"/>
          <w:szCs w:val="24"/>
        </w:rPr>
        <w:t>n</w:t>
      </w:r>
      <w:r>
        <w:rPr>
          <w:rFonts w:ascii="Arial" w:hAnsi="Arial" w:cs="Arial"/>
          <w:sz w:val="24"/>
          <w:szCs w:val="24"/>
        </w:rPr>
        <w:t xml:space="preserve">ance </w:t>
      </w:r>
      <w:r w:rsidR="00C11376">
        <w:rPr>
          <w:rFonts w:ascii="Arial" w:hAnsi="Arial" w:cs="Arial"/>
          <w:sz w:val="24"/>
          <w:szCs w:val="24"/>
        </w:rPr>
        <w:t>score</w:t>
      </w:r>
      <w:r>
        <w:rPr>
          <w:rFonts w:ascii="Arial" w:hAnsi="Arial" w:cs="Arial"/>
          <w:sz w:val="24"/>
          <w:szCs w:val="24"/>
        </w:rPr>
        <w:t xml:space="preserve"> for each company with its </w:t>
      </w:r>
      <w:r w:rsidR="00B35501">
        <w:rPr>
          <w:rFonts w:ascii="Arial" w:hAnsi="Arial" w:cs="Arial"/>
          <w:sz w:val="24"/>
          <w:szCs w:val="24"/>
        </w:rPr>
        <w:t xml:space="preserve">two-year </w:t>
      </w:r>
      <w:r>
        <w:rPr>
          <w:rFonts w:ascii="Arial" w:hAnsi="Arial" w:cs="Arial"/>
          <w:sz w:val="24"/>
          <w:szCs w:val="24"/>
        </w:rPr>
        <w:t>market cap</w:t>
      </w:r>
      <w:r w:rsidR="00B35501">
        <w:rPr>
          <w:rFonts w:ascii="Arial" w:hAnsi="Arial" w:cs="Arial"/>
          <w:sz w:val="24"/>
          <w:szCs w:val="24"/>
        </w:rPr>
        <w:t>italization</w:t>
      </w:r>
      <w:r>
        <w:rPr>
          <w:rFonts w:ascii="Arial" w:hAnsi="Arial" w:cs="Arial"/>
          <w:sz w:val="24"/>
          <w:szCs w:val="24"/>
        </w:rPr>
        <w:t xml:space="preserve"> destruction was </w:t>
      </w:r>
      <w:r w:rsidR="00B35501">
        <w:rPr>
          <w:rFonts w:ascii="Arial" w:hAnsi="Arial" w:cs="Arial"/>
          <w:sz w:val="24"/>
          <w:szCs w:val="24"/>
        </w:rPr>
        <w:t>86%.</w:t>
      </w:r>
    </w:p>
    <w:p w:rsidR="00B35501" w:rsidRDefault="00B35501" w:rsidP="00B35501">
      <w:pPr>
        <w:pStyle w:val="ListParagraph"/>
        <w:numPr>
          <w:ilvl w:val="0"/>
          <w:numId w:val="7"/>
        </w:numPr>
        <w:rPr>
          <w:rFonts w:ascii="Arial" w:hAnsi="Arial" w:cs="Arial"/>
          <w:sz w:val="24"/>
          <w:szCs w:val="24"/>
        </w:rPr>
      </w:pPr>
      <w:r>
        <w:rPr>
          <w:rFonts w:ascii="Arial" w:hAnsi="Arial" w:cs="Arial"/>
          <w:sz w:val="24"/>
          <w:szCs w:val="24"/>
        </w:rPr>
        <w:t>One</w:t>
      </w:r>
      <w:r w:rsidRPr="00495576">
        <w:rPr>
          <w:rFonts w:ascii="Arial" w:hAnsi="Arial" w:cs="Arial"/>
          <w:sz w:val="24"/>
          <w:szCs w:val="24"/>
        </w:rPr>
        <w:t xml:space="preserve"> year period from the </w:t>
      </w:r>
      <w:r>
        <w:rPr>
          <w:rFonts w:ascii="Arial" w:hAnsi="Arial" w:cs="Arial"/>
          <w:sz w:val="24"/>
          <w:szCs w:val="24"/>
        </w:rPr>
        <w:t xml:space="preserve">gold price of $1,688.58 at the end of the year, December 31, 2013 </w:t>
      </w:r>
      <w:r w:rsidRPr="00495576">
        <w:rPr>
          <w:rFonts w:ascii="Arial" w:hAnsi="Arial" w:cs="Arial"/>
          <w:sz w:val="24"/>
          <w:szCs w:val="24"/>
        </w:rPr>
        <w:t>to $1,2</w:t>
      </w:r>
      <w:r>
        <w:rPr>
          <w:rFonts w:ascii="Arial" w:hAnsi="Arial" w:cs="Arial"/>
          <w:sz w:val="24"/>
          <w:szCs w:val="24"/>
        </w:rPr>
        <w:t>44</w:t>
      </w:r>
      <w:r w:rsidRPr="00495576">
        <w:rPr>
          <w:rFonts w:ascii="Arial" w:hAnsi="Arial" w:cs="Arial"/>
          <w:sz w:val="24"/>
          <w:szCs w:val="24"/>
        </w:rPr>
        <w:t xml:space="preserve"> an ounce on </w:t>
      </w:r>
      <w:r>
        <w:rPr>
          <w:rFonts w:ascii="Arial" w:hAnsi="Arial" w:cs="Arial"/>
          <w:sz w:val="24"/>
          <w:szCs w:val="24"/>
        </w:rPr>
        <w:t>January 31</w:t>
      </w:r>
      <w:r w:rsidRPr="00495576">
        <w:rPr>
          <w:rFonts w:ascii="Arial" w:hAnsi="Arial" w:cs="Arial"/>
          <w:sz w:val="24"/>
          <w:szCs w:val="24"/>
        </w:rPr>
        <w:t>, 201</w:t>
      </w:r>
      <w:r>
        <w:rPr>
          <w:rFonts w:ascii="Arial" w:hAnsi="Arial" w:cs="Arial"/>
          <w:sz w:val="24"/>
          <w:szCs w:val="24"/>
        </w:rPr>
        <w:t>4</w:t>
      </w:r>
      <w:r w:rsidRPr="00495576">
        <w:rPr>
          <w:rFonts w:ascii="Arial" w:hAnsi="Arial" w:cs="Arial"/>
          <w:sz w:val="24"/>
          <w:szCs w:val="24"/>
        </w:rPr>
        <w:t>.</w:t>
      </w:r>
      <w:r>
        <w:rPr>
          <w:rFonts w:ascii="Arial" w:hAnsi="Arial" w:cs="Arial"/>
          <w:sz w:val="24"/>
          <w:szCs w:val="24"/>
        </w:rPr>
        <w:t xml:space="preserve">  The correlation of the summary corporate governance </w:t>
      </w:r>
      <w:r w:rsidR="00C11376">
        <w:rPr>
          <w:rFonts w:ascii="Arial" w:hAnsi="Arial" w:cs="Arial"/>
          <w:sz w:val="24"/>
          <w:szCs w:val="24"/>
        </w:rPr>
        <w:t>score</w:t>
      </w:r>
      <w:r>
        <w:rPr>
          <w:rFonts w:ascii="Arial" w:hAnsi="Arial" w:cs="Arial"/>
          <w:sz w:val="24"/>
          <w:szCs w:val="24"/>
        </w:rPr>
        <w:t xml:space="preserve"> for each company with its one-year market capitalization destruction was 70%.</w:t>
      </w:r>
    </w:p>
    <w:p w:rsidR="00B35501" w:rsidRPr="00B35501" w:rsidRDefault="0044168B" w:rsidP="00995F17">
      <w:pPr>
        <w:ind w:firstLine="720"/>
        <w:rPr>
          <w:rFonts w:ascii="Arial" w:hAnsi="Arial" w:cs="Arial"/>
          <w:sz w:val="24"/>
          <w:szCs w:val="24"/>
        </w:rPr>
      </w:pPr>
      <w:r>
        <w:rPr>
          <w:rFonts w:ascii="Arial" w:hAnsi="Arial" w:cs="Arial"/>
          <w:sz w:val="24"/>
          <w:szCs w:val="24"/>
        </w:rPr>
        <w:t>We performed</w:t>
      </w:r>
      <w:r w:rsidR="00B35501">
        <w:rPr>
          <w:rFonts w:ascii="Arial" w:hAnsi="Arial" w:cs="Arial"/>
          <w:sz w:val="24"/>
          <w:szCs w:val="24"/>
        </w:rPr>
        <w:t xml:space="preserve"> a further validity check on </w:t>
      </w:r>
      <w:r>
        <w:rPr>
          <w:rFonts w:ascii="Arial" w:hAnsi="Arial" w:cs="Arial"/>
          <w:sz w:val="24"/>
          <w:szCs w:val="24"/>
        </w:rPr>
        <w:t>our</w:t>
      </w:r>
      <w:r w:rsidR="00B35501">
        <w:rPr>
          <w:rFonts w:ascii="Arial" w:hAnsi="Arial" w:cs="Arial"/>
          <w:sz w:val="24"/>
          <w:szCs w:val="24"/>
        </w:rPr>
        <w:t xml:space="preserve"> </w:t>
      </w:r>
      <w:r w:rsidR="00C11376">
        <w:rPr>
          <w:rFonts w:ascii="Arial" w:hAnsi="Arial" w:cs="Arial"/>
          <w:sz w:val="24"/>
          <w:szCs w:val="24"/>
        </w:rPr>
        <w:t>non-weighted</w:t>
      </w:r>
      <w:r w:rsidR="00B35501">
        <w:rPr>
          <w:rFonts w:ascii="Arial" w:hAnsi="Arial" w:cs="Arial"/>
          <w:sz w:val="24"/>
          <w:szCs w:val="24"/>
        </w:rPr>
        <w:t xml:space="preserve"> summary of corporate governance factors into an overall corporate governance model</w:t>
      </w:r>
      <w:r>
        <w:rPr>
          <w:rFonts w:ascii="Arial" w:hAnsi="Arial" w:cs="Arial"/>
          <w:sz w:val="24"/>
          <w:szCs w:val="24"/>
        </w:rPr>
        <w:t>.  T</w:t>
      </w:r>
      <w:r w:rsidR="00B35501">
        <w:rPr>
          <w:rFonts w:ascii="Arial" w:hAnsi="Arial" w:cs="Arial"/>
          <w:sz w:val="24"/>
          <w:szCs w:val="24"/>
        </w:rPr>
        <w:t xml:space="preserve">hese </w:t>
      </w:r>
      <w:r w:rsidR="00C11376">
        <w:rPr>
          <w:rFonts w:ascii="Arial" w:hAnsi="Arial" w:cs="Arial"/>
          <w:sz w:val="24"/>
          <w:szCs w:val="24"/>
        </w:rPr>
        <w:t>summary scores</w:t>
      </w:r>
      <w:r w:rsidR="00B35501">
        <w:rPr>
          <w:rFonts w:ascii="Arial" w:hAnsi="Arial" w:cs="Arial"/>
          <w:sz w:val="24"/>
          <w:szCs w:val="24"/>
        </w:rPr>
        <w:t xml:space="preserve"> were </w:t>
      </w:r>
      <w:r>
        <w:rPr>
          <w:rFonts w:ascii="Arial" w:hAnsi="Arial" w:cs="Arial"/>
          <w:sz w:val="24"/>
          <w:szCs w:val="24"/>
        </w:rPr>
        <w:t>integrated in</w:t>
      </w:r>
      <w:r w:rsidR="00B35501">
        <w:rPr>
          <w:rFonts w:ascii="Arial" w:hAnsi="Arial" w:cs="Arial"/>
          <w:sz w:val="24"/>
          <w:szCs w:val="24"/>
        </w:rPr>
        <w:t xml:space="preserve">to our previous research on </w:t>
      </w:r>
      <w:r>
        <w:rPr>
          <w:rFonts w:ascii="Arial" w:hAnsi="Arial" w:cs="Arial"/>
          <w:sz w:val="24"/>
          <w:szCs w:val="24"/>
        </w:rPr>
        <w:t xml:space="preserve">a </w:t>
      </w:r>
      <w:r w:rsidR="00B35501">
        <w:rPr>
          <w:rFonts w:ascii="Arial" w:hAnsi="Arial" w:cs="Arial"/>
          <w:sz w:val="24"/>
          <w:szCs w:val="24"/>
        </w:rPr>
        <w:t>correlati</w:t>
      </w:r>
      <w:r>
        <w:rPr>
          <w:rFonts w:ascii="Arial" w:hAnsi="Arial" w:cs="Arial"/>
          <w:sz w:val="24"/>
          <w:szCs w:val="24"/>
        </w:rPr>
        <w:t>on analysis of</w:t>
      </w:r>
      <w:r w:rsidR="00B35501">
        <w:rPr>
          <w:rFonts w:ascii="Arial" w:hAnsi="Arial" w:cs="Arial"/>
          <w:sz w:val="24"/>
          <w:szCs w:val="24"/>
        </w:rPr>
        <w:t xml:space="preserve"> the </w:t>
      </w:r>
      <w:r>
        <w:rPr>
          <w:rFonts w:ascii="Arial" w:hAnsi="Arial" w:cs="Arial"/>
          <w:sz w:val="24"/>
          <w:szCs w:val="24"/>
        </w:rPr>
        <w:t xml:space="preserve">Securities and Exchange Commission’s (SEC) </w:t>
      </w:r>
      <w:r w:rsidR="00B35501">
        <w:rPr>
          <w:rFonts w:ascii="Arial" w:hAnsi="Arial" w:cs="Arial"/>
          <w:sz w:val="24"/>
          <w:szCs w:val="24"/>
        </w:rPr>
        <w:t>emerging Asset Quality Model</w:t>
      </w:r>
      <w:r>
        <w:rPr>
          <w:rFonts w:ascii="Arial" w:hAnsi="Arial" w:cs="Arial"/>
          <w:sz w:val="24"/>
          <w:szCs w:val="24"/>
        </w:rPr>
        <w:t>, which assesses earnings quality of publicly-held companies filing with the SEC</w:t>
      </w:r>
      <w:r w:rsidR="00C11376">
        <w:rPr>
          <w:rFonts w:ascii="Arial" w:hAnsi="Arial" w:cs="Arial"/>
          <w:sz w:val="24"/>
          <w:szCs w:val="24"/>
        </w:rPr>
        <w:t xml:space="preserve"> (Grove and Clouse, 2014)</w:t>
      </w:r>
      <w:r>
        <w:rPr>
          <w:rFonts w:ascii="Arial" w:hAnsi="Arial" w:cs="Arial"/>
          <w:sz w:val="24"/>
          <w:szCs w:val="24"/>
        </w:rPr>
        <w:t>.</w:t>
      </w:r>
    </w:p>
    <w:p w:rsidR="001C7F4E" w:rsidRDefault="0044168B" w:rsidP="0044168B">
      <w:pPr>
        <w:spacing w:line="240" w:lineRule="auto"/>
        <w:jc w:val="center"/>
        <w:rPr>
          <w:rFonts w:ascii="Arial" w:hAnsi="Arial" w:cs="Arial"/>
          <w:b/>
          <w:sz w:val="24"/>
          <w:szCs w:val="24"/>
        </w:rPr>
      </w:pPr>
      <w:r>
        <w:rPr>
          <w:rFonts w:ascii="Arial" w:hAnsi="Arial" w:cs="Arial"/>
          <w:b/>
          <w:sz w:val="24"/>
          <w:szCs w:val="24"/>
        </w:rPr>
        <w:t>Asset Quality Model (“</w:t>
      </w:r>
      <w:proofErr w:type="spellStart"/>
      <w:r>
        <w:rPr>
          <w:rFonts w:ascii="Arial" w:hAnsi="Arial" w:cs="Arial"/>
          <w:b/>
          <w:sz w:val="24"/>
          <w:szCs w:val="24"/>
        </w:rPr>
        <w:t>RoboCop</w:t>
      </w:r>
      <w:proofErr w:type="spellEnd"/>
      <w:r>
        <w:rPr>
          <w:rFonts w:ascii="Arial" w:hAnsi="Arial" w:cs="Arial"/>
          <w:b/>
          <w:sz w:val="24"/>
          <w:szCs w:val="24"/>
        </w:rPr>
        <w:t>”) Overview</w:t>
      </w:r>
    </w:p>
    <w:p w:rsidR="00F104D1" w:rsidRDefault="001C7F4E" w:rsidP="001C7F4E">
      <w:pPr>
        <w:rPr>
          <w:rFonts w:ascii="Arial" w:hAnsi="Arial" w:cs="Arial"/>
          <w:sz w:val="24"/>
          <w:szCs w:val="24"/>
        </w:rPr>
      </w:pPr>
      <w:r>
        <w:rPr>
          <w:rFonts w:ascii="Arial" w:hAnsi="Arial" w:cs="Arial"/>
          <w:sz w:val="24"/>
          <w:szCs w:val="24"/>
        </w:rPr>
        <w:tab/>
        <w:t>In early 2013, the SEC announced that it would reorganize its enforcement division resources to focus on accounting fraud after its prior focus on Ponzi schemes.  The SEC is developing fraud-detection software called Accounting Quality Model (AQM) that examines data</w:t>
      </w:r>
      <w:r w:rsidR="00C11376">
        <w:rPr>
          <w:rFonts w:ascii="Arial" w:hAnsi="Arial" w:cs="Arial"/>
          <w:sz w:val="24"/>
          <w:szCs w:val="24"/>
        </w:rPr>
        <w:t xml:space="preserve"> submitted</w:t>
      </w:r>
      <w:r>
        <w:rPr>
          <w:rFonts w:ascii="Arial" w:hAnsi="Arial" w:cs="Arial"/>
          <w:sz w:val="24"/>
          <w:szCs w:val="24"/>
        </w:rPr>
        <w:t xml:space="preserve"> from approximately 9,000 publicly traded companies.  Warning signs include a big difference between net income and actual cash outflows available to investors, declining market share, weak profitability compared to rivals, and unusually high numbers of off-balance sheet transactions.  The SEC is also developing a computer program to analyze language in financial reports for clues that executives may be misstating results.  For example, companies with poorer earnings often file annual reports which are harder to read and understand.  Also, insurance companies have found that people filing fraudulent claims tend to use “I” and “we” less frequently than honest policyholders.  If such a word-analysis program works, the SEC will add it to its AQM software</w:t>
      </w:r>
      <w:r w:rsidR="001C7D5E">
        <w:rPr>
          <w:rFonts w:ascii="Arial" w:hAnsi="Arial" w:cs="Arial"/>
          <w:sz w:val="24"/>
          <w:szCs w:val="24"/>
        </w:rPr>
        <w:t xml:space="preserve"> (</w:t>
      </w:r>
      <w:proofErr w:type="spellStart"/>
      <w:r w:rsidR="001C7D5E">
        <w:rPr>
          <w:rFonts w:ascii="Arial" w:hAnsi="Arial" w:cs="Arial"/>
          <w:sz w:val="24"/>
          <w:szCs w:val="24"/>
        </w:rPr>
        <w:t>Eaglesham</w:t>
      </w:r>
      <w:proofErr w:type="spellEnd"/>
      <w:r w:rsidR="001C7D5E">
        <w:rPr>
          <w:rFonts w:ascii="Arial" w:hAnsi="Arial" w:cs="Arial"/>
          <w:sz w:val="24"/>
          <w:szCs w:val="24"/>
        </w:rPr>
        <w:t>, 2013)</w:t>
      </w:r>
      <w:r>
        <w:rPr>
          <w:rFonts w:ascii="Arial" w:hAnsi="Arial" w:cs="Arial"/>
          <w:sz w:val="24"/>
          <w:szCs w:val="24"/>
        </w:rPr>
        <w:t>.</w:t>
      </w:r>
    </w:p>
    <w:p w:rsidR="00DB6E75" w:rsidRDefault="001C7F4E" w:rsidP="001C7F4E">
      <w:pPr>
        <w:rPr>
          <w:rFonts w:ascii="Arial" w:hAnsi="Arial" w:cs="Arial"/>
          <w:sz w:val="24"/>
          <w:szCs w:val="24"/>
        </w:rPr>
      </w:pPr>
      <w:r>
        <w:rPr>
          <w:rFonts w:ascii="Arial" w:hAnsi="Arial" w:cs="Arial"/>
          <w:sz w:val="24"/>
          <w:szCs w:val="24"/>
        </w:rPr>
        <w:lastRenderedPageBreak/>
        <w:tab/>
        <w:t>The SEC’s new AQM software has been labeled by some in the financial industry as “</w:t>
      </w:r>
      <w:proofErr w:type="spellStart"/>
      <w:r>
        <w:rPr>
          <w:rFonts w:ascii="Arial" w:hAnsi="Arial" w:cs="Arial"/>
          <w:sz w:val="24"/>
          <w:szCs w:val="24"/>
        </w:rPr>
        <w:t>RoboCop</w:t>
      </w:r>
      <w:proofErr w:type="spellEnd"/>
      <w:r>
        <w:rPr>
          <w:rFonts w:ascii="Arial" w:hAnsi="Arial" w:cs="Arial"/>
          <w:sz w:val="24"/>
          <w:szCs w:val="24"/>
        </w:rPr>
        <w:t xml:space="preserve">” after the 1987 sci-fi thriller about a superhuman robotic police officer who patrolled the lawless streets of Detroit.  Discretionary accruals are identified as either risk indicators or risk inducers.  Risk indicators are factors directly associated with earnings management while risk inducers identify situations where strong incentives for earnings management may exist.  While the SEC is keeping specific details about such risk factors in its AQM confidential, it has offered several clues in addition to those previously cited as warning signs.  One such risk indicator is relatively high book earnings versus alternative tax treatments that minimize taxable income.  For example, both Enron and WorldCom had book tax rates of about 40% but cash tax rates of only about 4%.  Other warning signs might be frequent conflicts and/or changes of independent auditors and filing delays.  This approach has model flexibility and adaptability, allowing the SEC to add or remove factors to customize its analysis to specific needs.  Also, the SEC will be able to continually update </w:t>
      </w:r>
      <w:r w:rsidR="00C11376">
        <w:rPr>
          <w:rFonts w:ascii="Arial" w:hAnsi="Arial" w:cs="Arial"/>
          <w:sz w:val="24"/>
          <w:szCs w:val="24"/>
        </w:rPr>
        <w:t xml:space="preserve">its </w:t>
      </w:r>
      <w:r>
        <w:rPr>
          <w:rFonts w:ascii="Arial" w:hAnsi="Arial" w:cs="Arial"/>
          <w:sz w:val="24"/>
          <w:szCs w:val="24"/>
        </w:rPr>
        <w:t xml:space="preserve">AQM for creative manipulations that filers are doing to conceal their frauds.  The next generation </w:t>
      </w:r>
      <w:proofErr w:type="spellStart"/>
      <w:r>
        <w:rPr>
          <w:rFonts w:ascii="Arial" w:hAnsi="Arial" w:cs="Arial"/>
          <w:sz w:val="24"/>
          <w:szCs w:val="24"/>
        </w:rPr>
        <w:t>RoboCop</w:t>
      </w:r>
      <w:proofErr w:type="spellEnd"/>
      <w:r>
        <w:rPr>
          <w:rFonts w:ascii="Arial" w:hAnsi="Arial" w:cs="Arial"/>
          <w:sz w:val="24"/>
          <w:szCs w:val="24"/>
        </w:rPr>
        <w:t xml:space="preserve"> may scan the Management Discussion and Analysis (MD&amp;A) section of annual reports for previously identified word choices as warning signs from prior fraudulent filers</w:t>
      </w:r>
      <w:r w:rsidR="00DB6E75">
        <w:rPr>
          <w:rFonts w:ascii="Arial" w:hAnsi="Arial" w:cs="Arial"/>
          <w:sz w:val="24"/>
          <w:szCs w:val="24"/>
        </w:rPr>
        <w:t xml:space="preserve"> (</w:t>
      </w:r>
      <w:proofErr w:type="spellStart"/>
      <w:r w:rsidR="00DB6E75">
        <w:rPr>
          <w:rFonts w:ascii="Arial" w:hAnsi="Arial" w:cs="Arial"/>
          <w:sz w:val="24"/>
          <w:szCs w:val="24"/>
        </w:rPr>
        <w:t>Novack</w:t>
      </w:r>
      <w:proofErr w:type="spellEnd"/>
      <w:r w:rsidR="00DB6E75">
        <w:rPr>
          <w:rFonts w:ascii="Arial" w:hAnsi="Arial" w:cs="Arial"/>
          <w:sz w:val="24"/>
          <w:szCs w:val="24"/>
        </w:rPr>
        <w:t>, 2013)</w:t>
      </w:r>
      <w:r>
        <w:rPr>
          <w:rFonts w:ascii="Arial" w:hAnsi="Arial" w:cs="Arial"/>
          <w:sz w:val="24"/>
          <w:szCs w:val="24"/>
        </w:rPr>
        <w:t xml:space="preserve">.  </w:t>
      </w:r>
    </w:p>
    <w:p w:rsidR="001C7F4E" w:rsidRPr="00AA5401" w:rsidRDefault="001C7F4E" w:rsidP="001C7F4E">
      <w:pPr>
        <w:jc w:val="center"/>
        <w:rPr>
          <w:rFonts w:ascii="Arial" w:hAnsi="Arial" w:cs="Arial"/>
          <w:sz w:val="24"/>
          <w:szCs w:val="24"/>
        </w:rPr>
      </w:pPr>
      <w:r>
        <w:rPr>
          <w:rFonts w:ascii="Arial" w:hAnsi="Arial" w:cs="Arial"/>
          <w:b/>
          <w:sz w:val="24"/>
          <w:szCs w:val="24"/>
        </w:rPr>
        <w:t xml:space="preserve">One Approach to </w:t>
      </w:r>
      <w:r w:rsidRPr="00AA5401">
        <w:rPr>
          <w:rFonts w:ascii="Arial" w:hAnsi="Arial" w:cs="Arial"/>
          <w:b/>
          <w:sz w:val="24"/>
          <w:szCs w:val="24"/>
        </w:rPr>
        <w:t>SEC</w:t>
      </w:r>
      <w:r>
        <w:rPr>
          <w:rFonts w:ascii="Arial" w:hAnsi="Arial" w:cs="Arial"/>
          <w:b/>
          <w:sz w:val="24"/>
          <w:szCs w:val="24"/>
        </w:rPr>
        <w:t>’s AQM or</w:t>
      </w:r>
      <w:r w:rsidRPr="00AA5401">
        <w:rPr>
          <w:rFonts w:ascii="Arial" w:hAnsi="Arial" w:cs="Arial"/>
          <w:b/>
          <w:sz w:val="24"/>
          <w:szCs w:val="24"/>
        </w:rPr>
        <w:t xml:space="preserve"> </w:t>
      </w:r>
      <w:proofErr w:type="spellStart"/>
      <w:r w:rsidRPr="00AA5401">
        <w:rPr>
          <w:rFonts w:ascii="Arial" w:hAnsi="Arial" w:cs="Arial"/>
          <w:b/>
          <w:sz w:val="24"/>
          <w:szCs w:val="24"/>
        </w:rPr>
        <w:t>RoboCop</w:t>
      </w:r>
      <w:proofErr w:type="spellEnd"/>
      <w:r>
        <w:rPr>
          <w:rFonts w:ascii="Arial" w:hAnsi="Arial" w:cs="Arial"/>
          <w:b/>
          <w:sz w:val="24"/>
          <w:szCs w:val="24"/>
        </w:rPr>
        <w:t xml:space="preserve"> Scores</w:t>
      </w:r>
    </w:p>
    <w:p w:rsidR="001C7F4E" w:rsidRDefault="001C7F4E" w:rsidP="001C7F4E">
      <w:pPr>
        <w:rPr>
          <w:rFonts w:ascii="Arial" w:hAnsi="Arial" w:cs="Arial"/>
          <w:sz w:val="24"/>
          <w:szCs w:val="24"/>
        </w:rPr>
      </w:pPr>
      <w:r>
        <w:rPr>
          <w:rFonts w:ascii="Arial" w:hAnsi="Arial" w:cs="Arial"/>
          <w:b/>
          <w:sz w:val="24"/>
          <w:szCs w:val="24"/>
        </w:rPr>
        <w:tab/>
      </w:r>
      <w:r>
        <w:rPr>
          <w:rFonts w:ascii="Arial" w:hAnsi="Arial" w:cs="Arial"/>
          <w:sz w:val="24"/>
          <w:szCs w:val="24"/>
        </w:rPr>
        <w:t xml:space="preserve">Since the SEC has stressed flexibility and adaptability in its implementation of the AQM or </w:t>
      </w:r>
      <w:proofErr w:type="spellStart"/>
      <w:r>
        <w:rPr>
          <w:rFonts w:ascii="Arial" w:hAnsi="Arial" w:cs="Arial"/>
          <w:sz w:val="24"/>
          <w:szCs w:val="24"/>
        </w:rPr>
        <w:t>RoboCop</w:t>
      </w:r>
      <w:proofErr w:type="spellEnd"/>
      <w:r>
        <w:rPr>
          <w:rFonts w:ascii="Arial" w:hAnsi="Arial" w:cs="Arial"/>
          <w:sz w:val="24"/>
          <w:szCs w:val="24"/>
        </w:rPr>
        <w:t xml:space="preserve"> model, one such approach is illustrated here, using the </w:t>
      </w:r>
      <w:r w:rsidR="0044168B">
        <w:rPr>
          <w:rFonts w:ascii="Arial" w:hAnsi="Arial" w:cs="Arial"/>
          <w:sz w:val="24"/>
          <w:szCs w:val="24"/>
        </w:rPr>
        <w:t>six largest</w:t>
      </w:r>
      <w:r>
        <w:rPr>
          <w:rFonts w:ascii="Arial" w:hAnsi="Arial" w:cs="Arial"/>
          <w:sz w:val="24"/>
          <w:szCs w:val="24"/>
        </w:rPr>
        <w:t xml:space="preserve"> gold mining companies</w:t>
      </w:r>
      <w:r w:rsidR="0044168B">
        <w:rPr>
          <w:rFonts w:ascii="Arial" w:hAnsi="Arial" w:cs="Arial"/>
          <w:sz w:val="24"/>
          <w:szCs w:val="24"/>
        </w:rPr>
        <w:t xml:space="preserve"> </w:t>
      </w:r>
      <w:r>
        <w:rPr>
          <w:rFonts w:ascii="Arial" w:hAnsi="Arial" w:cs="Arial"/>
          <w:sz w:val="24"/>
          <w:szCs w:val="24"/>
        </w:rPr>
        <w:t>that trade in New York</w:t>
      </w:r>
      <w:r w:rsidR="00DB6E75">
        <w:rPr>
          <w:rFonts w:ascii="Arial" w:hAnsi="Arial" w:cs="Arial"/>
          <w:sz w:val="24"/>
          <w:szCs w:val="24"/>
        </w:rPr>
        <w:t xml:space="preserve"> (Wood, 2013)</w:t>
      </w:r>
      <w:r>
        <w:rPr>
          <w:rFonts w:ascii="Arial" w:hAnsi="Arial" w:cs="Arial"/>
          <w:sz w:val="24"/>
          <w:szCs w:val="24"/>
        </w:rPr>
        <w:t xml:space="preserve">.  Our approach stresses the importance of the SEC investigating and protecting against massive market capitalization (cap) destruction.  Market cap destruction has frequently been caused by fraudulent financial reporting in the past.  Well known examples, with their market cap destruction in parentheses, include WorldCom ($180 billion), Enron ($70 billion), and Qwest ($65 billion) and all three companies’ CEOs went to jail.  More recent examples include Lehman Brothers ($32 billion), Bear Stearns ($25 billion), and Chinese companies using reverse mergers or reverse take-overs (RTOs) to list on U.S. stock exchanges ($40 billion). </w:t>
      </w:r>
    </w:p>
    <w:p w:rsidR="001C7F4E" w:rsidRDefault="001C7F4E" w:rsidP="001C7F4E">
      <w:pPr>
        <w:ind w:firstLine="720"/>
        <w:rPr>
          <w:rFonts w:ascii="Arial" w:hAnsi="Arial" w:cs="Arial"/>
          <w:sz w:val="24"/>
          <w:szCs w:val="24"/>
        </w:rPr>
      </w:pPr>
      <w:r>
        <w:rPr>
          <w:rFonts w:ascii="Arial" w:hAnsi="Arial" w:cs="Arial"/>
          <w:sz w:val="24"/>
          <w:szCs w:val="24"/>
        </w:rPr>
        <w:t>We analyzed the market cap destruction of the</w:t>
      </w:r>
      <w:r w:rsidR="0044168B">
        <w:rPr>
          <w:rFonts w:ascii="Arial" w:hAnsi="Arial" w:cs="Arial"/>
          <w:sz w:val="24"/>
          <w:szCs w:val="24"/>
        </w:rPr>
        <w:t>se six</w:t>
      </w:r>
      <w:r>
        <w:rPr>
          <w:rFonts w:ascii="Arial" w:hAnsi="Arial" w:cs="Arial"/>
          <w:sz w:val="24"/>
          <w:szCs w:val="24"/>
        </w:rPr>
        <w:t xml:space="preserve"> gold mining companies by the change in their stock prices from the date of the all-time high gold price ($1,921.15 an ounce on September 6, 2011) to the date of the recent two-year low gold price  ($1,211 an ounce on December 24, 2013).  </w:t>
      </w:r>
      <w:r w:rsidR="0044168B">
        <w:rPr>
          <w:rFonts w:ascii="Arial" w:hAnsi="Arial" w:cs="Arial"/>
          <w:sz w:val="24"/>
          <w:szCs w:val="24"/>
        </w:rPr>
        <w:t>These six companies</w:t>
      </w:r>
      <w:r>
        <w:rPr>
          <w:rFonts w:ascii="Arial" w:hAnsi="Arial" w:cs="Arial"/>
          <w:sz w:val="24"/>
          <w:szCs w:val="24"/>
        </w:rPr>
        <w:t xml:space="preserve"> had market cap destructions from approximately $7.2 billion to $40.6 billion over this two-plus year period for an average of $19.4 billion</w:t>
      </w:r>
      <w:r w:rsidR="00F97510">
        <w:rPr>
          <w:rFonts w:ascii="Arial" w:hAnsi="Arial" w:cs="Arial"/>
          <w:sz w:val="24"/>
          <w:szCs w:val="24"/>
        </w:rPr>
        <w:t xml:space="preserve"> as follows:</w:t>
      </w:r>
      <w:r>
        <w:rPr>
          <w:rFonts w:ascii="Arial" w:hAnsi="Arial" w:cs="Arial"/>
          <w:sz w:val="24"/>
          <w:szCs w:val="24"/>
        </w:rPr>
        <w:t xml:space="preserve"> </w:t>
      </w:r>
      <w:proofErr w:type="spellStart"/>
      <w:r>
        <w:rPr>
          <w:rFonts w:ascii="Arial" w:hAnsi="Arial" w:cs="Arial"/>
          <w:sz w:val="24"/>
          <w:szCs w:val="24"/>
        </w:rPr>
        <w:t>Barrick</w:t>
      </w:r>
      <w:proofErr w:type="spellEnd"/>
      <w:r>
        <w:rPr>
          <w:rFonts w:ascii="Arial" w:hAnsi="Arial" w:cs="Arial"/>
          <w:sz w:val="24"/>
          <w:szCs w:val="24"/>
        </w:rPr>
        <w:t xml:space="preserve"> Gold ($40.6); Goldcorp ($26.8); Newmont Mining ($21.7); Kinross Gold ($11.0); Eldorado Gold ($9.3); and IAMGOLD ($7.2). </w:t>
      </w:r>
      <w:r w:rsidR="00F97510">
        <w:rPr>
          <w:rFonts w:ascii="Arial" w:hAnsi="Arial" w:cs="Arial"/>
          <w:sz w:val="24"/>
          <w:szCs w:val="24"/>
        </w:rPr>
        <w:t xml:space="preserve"> We also analyzed the recent one-plus year market cap destructions of these six companies from January 4, 2012 to January 31, 2014: </w:t>
      </w:r>
      <w:r>
        <w:rPr>
          <w:rFonts w:ascii="Arial" w:hAnsi="Arial" w:cs="Arial"/>
          <w:sz w:val="24"/>
          <w:szCs w:val="24"/>
        </w:rPr>
        <w:t xml:space="preserve"> </w:t>
      </w:r>
      <w:proofErr w:type="spellStart"/>
      <w:r w:rsidR="00F97510">
        <w:rPr>
          <w:rFonts w:ascii="Arial" w:hAnsi="Arial" w:cs="Arial"/>
          <w:sz w:val="24"/>
          <w:szCs w:val="24"/>
        </w:rPr>
        <w:t>Barrick</w:t>
      </w:r>
      <w:proofErr w:type="spellEnd"/>
      <w:r w:rsidR="00F97510">
        <w:rPr>
          <w:rFonts w:ascii="Arial" w:hAnsi="Arial" w:cs="Arial"/>
          <w:sz w:val="24"/>
          <w:szCs w:val="24"/>
        </w:rPr>
        <w:t xml:space="preserve"> Gold ($15.7); Goldcorp ($7.3); Newmont Mining ($11.0); Kinross Gold ($3.9); Eldorado Gold ($10.4); and IAMGOLD ($1.6).</w:t>
      </w:r>
    </w:p>
    <w:p w:rsidR="001C7F4E" w:rsidRDefault="001C7F4E" w:rsidP="001C7F4E">
      <w:pPr>
        <w:rPr>
          <w:rFonts w:ascii="Arial" w:hAnsi="Arial" w:cs="Arial"/>
          <w:sz w:val="24"/>
          <w:szCs w:val="24"/>
        </w:rPr>
      </w:pPr>
      <w:r>
        <w:rPr>
          <w:rFonts w:ascii="Arial" w:hAnsi="Arial" w:cs="Arial"/>
          <w:sz w:val="24"/>
          <w:szCs w:val="24"/>
        </w:rPr>
        <w:lastRenderedPageBreak/>
        <w:tab/>
        <w:t xml:space="preserve">Our approach uses both financial and non-financial measures. For financial measures, we correlated each of the specific models and ratios from our going concern research on </w:t>
      </w:r>
      <w:r w:rsidR="009540FF">
        <w:rPr>
          <w:rFonts w:ascii="Arial" w:hAnsi="Arial" w:cs="Arial"/>
          <w:sz w:val="24"/>
          <w:szCs w:val="24"/>
        </w:rPr>
        <w:t xml:space="preserve">these </w:t>
      </w:r>
      <w:r>
        <w:rPr>
          <w:rFonts w:ascii="Arial" w:hAnsi="Arial" w:cs="Arial"/>
          <w:sz w:val="24"/>
          <w:szCs w:val="24"/>
        </w:rPr>
        <w:t xml:space="preserve">gold mining companies (see model and ratio details in </w:t>
      </w:r>
      <w:r w:rsidR="00DC1AD0">
        <w:rPr>
          <w:rFonts w:ascii="Arial" w:hAnsi="Arial" w:cs="Arial"/>
          <w:sz w:val="24"/>
          <w:szCs w:val="24"/>
        </w:rPr>
        <w:t xml:space="preserve">Grove and Clouse, 2014) </w:t>
      </w:r>
      <w:r>
        <w:rPr>
          <w:rFonts w:ascii="Arial" w:hAnsi="Arial" w:cs="Arial"/>
          <w:sz w:val="24"/>
          <w:szCs w:val="24"/>
        </w:rPr>
        <w:t xml:space="preserve">to their market cap destructions in order to try to find SEC risk-type indicators that would help predict market cap destruction.  These key models and ratios were: Altman bankruptcy model; fixed charge coverage; debt to equity; debt to EBITDA;  </w:t>
      </w:r>
      <w:proofErr w:type="spellStart"/>
      <w:r>
        <w:rPr>
          <w:rFonts w:ascii="Arial" w:hAnsi="Arial" w:cs="Arial"/>
          <w:sz w:val="24"/>
          <w:szCs w:val="24"/>
        </w:rPr>
        <w:t>Dechow</w:t>
      </w:r>
      <w:proofErr w:type="spellEnd"/>
      <w:r>
        <w:rPr>
          <w:rFonts w:ascii="Arial" w:hAnsi="Arial" w:cs="Arial"/>
          <w:sz w:val="24"/>
          <w:szCs w:val="24"/>
        </w:rPr>
        <w:t xml:space="preserve"> fraud model; </w:t>
      </w:r>
      <w:proofErr w:type="spellStart"/>
      <w:r>
        <w:rPr>
          <w:rFonts w:ascii="Arial" w:hAnsi="Arial" w:cs="Arial"/>
          <w:sz w:val="24"/>
          <w:szCs w:val="24"/>
        </w:rPr>
        <w:t>Beneish</w:t>
      </w:r>
      <w:proofErr w:type="spellEnd"/>
      <w:r>
        <w:rPr>
          <w:rFonts w:ascii="Arial" w:hAnsi="Arial" w:cs="Arial"/>
          <w:sz w:val="24"/>
          <w:szCs w:val="24"/>
        </w:rPr>
        <w:t xml:space="preserve"> fraud model; quality of earnings; quality of revenues; price earnings ratio; gross profit ratio; accounts receivable to sales; inventory to cost of goods sold; depreciation to plant, property and equipment; asset turnover; and intangibles to total assets.</w:t>
      </w:r>
    </w:p>
    <w:p w:rsidR="001C7F4E" w:rsidRDefault="001C7F4E" w:rsidP="001C7F4E">
      <w:pPr>
        <w:rPr>
          <w:rFonts w:ascii="Arial" w:hAnsi="Arial" w:cs="Arial"/>
          <w:sz w:val="24"/>
          <w:szCs w:val="24"/>
        </w:rPr>
      </w:pPr>
      <w:r>
        <w:rPr>
          <w:rFonts w:ascii="Arial" w:hAnsi="Arial" w:cs="Arial"/>
          <w:sz w:val="24"/>
          <w:szCs w:val="24"/>
        </w:rPr>
        <w:tab/>
        <w:t xml:space="preserve">For a non-financial measure, we analyzed language in the annual reports of these </w:t>
      </w:r>
      <w:r w:rsidR="009540FF">
        <w:rPr>
          <w:rFonts w:ascii="Arial" w:hAnsi="Arial" w:cs="Arial"/>
          <w:sz w:val="24"/>
          <w:szCs w:val="24"/>
        </w:rPr>
        <w:t>six</w:t>
      </w:r>
      <w:r>
        <w:rPr>
          <w:rFonts w:ascii="Arial" w:hAnsi="Arial" w:cs="Arial"/>
          <w:sz w:val="24"/>
          <w:szCs w:val="24"/>
        </w:rPr>
        <w:t xml:space="preserve"> gold mining companies with the well-established Fog Index.  The Fog Index translates the number of years’ education a reader needs to understand the material.  An ideal score is 8 (eighth grade education).  Anything above 12 (high school senior) is too hard for most people to read.  The Fog Index does not determine if the writing is too basic or too advanced for a specific audience but helps point out whether a document could benefit from editing or using simpler language.  It was developed by Robert Gunning, an American businessman, in 1952.  A Gunning Fog Index calculator is widely available on the internet with 65 different language choices (gunning-fog-index.com).  The Fog Index was recently discussed in a multiple choice test for determining your Fraud IQ </w:t>
      </w:r>
      <w:r w:rsidRPr="007A3620">
        <w:rPr>
          <w:rFonts w:ascii="Arial" w:hAnsi="Arial" w:cs="Arial"/>
          <w:sz w:val="24"/>
          <w:szCs w:val="24"/>
        </w:rPr>
        <w:t>as</w:t>
      </w:r>
      <w:r>
        <w:rPr>
          <w:rFonts w:ascii="Arial" w:hAnsi="Arial" w:cs="Arial"/>
          <w:sz w:val="24"/>
          <w:szCs w:val="24"/>
        </w:rPr>
        <w:t xml:space="preserve"> follows</w:t>
      </w:r>
      <w:r w:rsidR="00BB33E6">
        <w:rPr>
          <w:rFonts w:ascii="Arial" w:hAnsi="Arial" w:cs="Arial"/>
          <w:sz w:val="24"/>
          <w:szCs w:val="24"/>
        </w:rPr>
        <w:t xml:space="preserve"> (McNeal, 2012)</w:t>
      </w:r>
      <w:r>
        <w:rPr>
          <w:rFonts w:ascii="Arial" w:hAnsi="Arial" w:cs="Arial"/>
          <w:sz w:val="24"/>
          <w:szCs w:val="24"/>
        </w:rPr>
        <w:t xml:space="preserve">:  </w:t>
      </w:r>
    </w:p>
    <w:p w:rsidR="001C7F4E" w:rsidRDefault="001C7F4E" w:rsidP="00BB33E6">
      <w:pPr>
        <w:ind w:firstLine="720"/>
        <w:rPr>
          <w:rFonts w:ascii="Arial" w:hAnsi="Arial" w:cs="Arial"/>
          <w:sz w:val="24"/>
          <w:szCs w:val="24"/>
        </w:rPr>
      </w:pPr>
      <w:r>
        <w:rPr>
          <w:rFonts w:ascii="Arial" w:hAnsi="Arial" w:cs="Arial"/>
          <w:sz w:val="24"/>
          <w:szCs w:val="24"/>
        </w:rPr>
        <w:t xml:space="preserve">Analyzing data using Robert Gunning’s Fog Index is most useful in uncovering which of the following fraud schemes?  </w:t>
      </w:r>
    </w:p>
    <w:p w:rsidR="001C7F4E" w:rsidRDefault="001C7F4E" w:rsidP="001C7F4E">
      <w:pPr>
        <w:pStyle w:val="ListParagraph"/>
        <w:numPr>
          <w:ilvl w:val="0"/>
          <w:numId w:val="1"/>
        </w:numPr>
        <w:rPr>
          <w:rFonts w:ascii="Arial" w:hAnsi="Arial" w:cs="Arial"/>
          <w:sz w:val="24"/>
          <w:szCs w:val="24"/>
        </w:rPr>
      </w:pPr>
      <w:r>
        <w:rPr>
          <w:rFonts w:ascii="Arial" w:hAnsi="Arial" w:cs="Arial"/>
          <w:sz w:val="24"/>
          <w:szCs w:val="24"/>
        </w:rPr>
        <w:t>a) kickbacks paid to overseas vendors</w:t>
      </w:r>
    </w:p>
    <w:p w:rsidR="001C7F4E" w:rsidRDefault="001C7F4E" w:rsidP="001C7F4E">
      <w:pPr>
        <w:pStyle w:val="ListParagraph"/>
        <w:numPr>
          <w:ilvl w:val="0"/>
          <w:numId w:val="1"/>
        </w:numPr>
        <w:rPr>
          <w:rFonts w:ascii="Arial" w:hAnsi="Arial" w:cs="Arial"/>
          <w:sz w:val="24"/>
          <w:szCs w:val="24"/>
        </w:rPr>
      </w:pPr>
      <w:r>
        <w:rPr>
          <w:rFonts w:ascii="Arial" w:hAnsi="Arial" w:cs="Arial"/>
          <w:sz w:val="24"/>
          <w:szCs w:val="24"/>
        </w:rPr>
        <w:t>b) financial statement manipulation</w:t>
      </w:r>
    </w:p>
    <w:p w:rsidR="001C7F4E" w:rsidRDefault="001C7F4E" w:rsidP="001C7F4E">
      <w:pPr>
        <w:pStyle w:val="ListParagraph"/>
        <w:numPr>
          <w:ilvl w:val="0"/>
          <w:numId w:val="1"/>
        </w:numPr>
        <w:rPr>
          <w:rFonts w:ascii="Arial" w:hAnsi="Arial" w:cs="Arial"/>
          <w:sz w:val="24"/>
          <w:szCs w:val="24"/>
        </w:rPr>
      </w:pPr>
      <w:r>
        <w:rPr>
          <w:rFonts w:ascii="Arial" w:hAnsi="Arial" w:cs="Arial"/>
          <w:sz w:val="24"/>
          <w:szCs w:val="24"/>
        </w:rPr>
        <w:t>c) theft of proprietary information</w:t>
      </w:r>
    </w:p>
    <w:p w:rsidR="001C7F4E" w:rsidRDefault="001C7F4E" w:rsidP="001C7F4E">
      <w:pPr>
        <w:pStyle w:val="ListParagraph"/>
        <w:numPr>
          <w:ilvl w:val="0"/>
          <w:numId w:val="1"/>
        </w:numPr>
        <w:rPr>
          <w:rFonts w:ascii="Arial" w:hAnsi="Arial" w:cs="Arial"/>
          <w:sz w:val="24"/>
          <w:szCs w:val="24"/>
        </w:rPr>
      </w:pPr>
      <w:r>
        <w:rPr>
          <w:rFonts w:ascii="Arial" w:hAnsi="Arial" w:cs="Arial"/>
          <w:sz w:val="24"/>
          <w:szCs w:val="24"/>
        </w:rPr>
        <w:t>d) skimming of incoming cash receipts</w:t>
      </w:r>
    </w:p>
    <w:p w:rsidR="001C7F4E" w:rsidRDefault="001C7F4E" w:rsidP="00BB33E6">
      <w:pPr>
        <w:ind w:firstLine="720"/>
        <w:rPr>
          <w:rFonts w:ascii="Arial" w:hAnsi="Arial" w:cs="Arial"/>
          <w:sz w:val="24"/>
          <w:szCs w:val="24"/>
        </w:rPr>
      </w:pPr>
      <w:r>
        <w:rPr>
          <w:rFonts w:ascii="Arial" w:hAnsi="Arial" w:cs="Arial"/>
          <w:sz w:val="24"/>
          <w:szCs w:val="24"/>
        </w:rPr>
        <w:t xml:space="preserve">The correct answer is b).  Because notes to financial statements are inherently complex, it is not surprising that many receive a Fog Index score well beyond what would be considered easily readable by almost anyone.  Therefore, a high Fog Index alone is not necessarily an indicator of fraudulent activity.  The real value in applying the Fog Index to financial statement fraud detection lies in using the index to make comparisons between particular notes within the same period, to similar notes in other periods, or to the notes of other organizations in the same industry.  Any significant changes or deviations in a Fog Index score that are highlighted by these types of comparisons could indicate fraudulent activity and warrant a closer look. </w:t>
      </w:r>
    </w:p>
    <w:p w:rsidR="001C7F4E" w:rsidRDefault="001C7F4E" w:rsidP="001C7F4E">
      <w:pPr>
        <w:ind w:firstLine="720"/>
        <w:rPr>
          <w:rFonts w:ascii="Arial" w:hAnsi="Arial" w:cs="Arial"/>
          <w:sz w:val="24"/>
          <w:szCs w:val="24"/>
        </w:rPr>
      </w:pPr>
      <w:r>
        <w:rPr>
          <w:rFonts w:ascii="Arial" w:hAnsi="Arial" w:cs="Arial"/>
          <w:sz w:val="24"/>
          <w:szCs w:val="24"/>
        </w:rPr>
        <w:t>For comparing organizations in the same industry as recommended in this Fraud IQ test answer, we chose to compare the first few paragraphs of about 100 words in each CEO’s Letter to the Shareholders for the</w:t>
      </w:r>
      <w:r w:rsidR="009540FF">
        <w:rPr>
          <w:rFonts w:ascii="Arial" w:hAnsi="Arial" w:cs="Arial"/>
          <w:sz w:val="24"/>
          <w:szCs w:val="24"/>
        </w:rPr>
        <w:t>se six</w:t>
      </w:r>
      <w:r>
        <w:rPr>
          <w:rFonts w:ascii="Arial" w:hAnsi="Arial" w:cs="Arial"/>
          <w:sz w:val="24"/>
          <w:szCs w:val="24"/>
        </w:rPr>
        <w:t xml:space="preserve"> gold mining companies.  A specific example of a communication issue was a gold stock analyst’s recent recommendation: </w:t>
      </w:r>
      <w:r w:rsidR="00F270C6">
        <w:rPr>
          <w:rFonts w:ascii="Arial" w:hAnsi="Arial" w:cs="Arial"/>
          <w:sz w:val="24"/>
          <w:szCs w:val="24"/>
        </w:rPr>
        <w:lastRenderedPageBreak/>
        <w:t>w</w:t>
      </w:r>
      <w:r>
        <w:rPr>
          <w:rFonts w:ascii="Arial" w:hAnsi="Arial" w:cs="Arial"/>
          <w:sz w:val="24"/>
          <w:szCs w:val="24"/>
        </w:rPr>
        <w:t>e put out a call to sell Kinross Gold recently and much of that is because I don’t like the way management communicates with their shareholders</w:t>
      </w:r>
      <w:r w:rsidR="00F270C6">
        <w:rPr>
          <w:rFonts w:ascii="Arial" w:hAnsi="Arial" w:cs="Arial"/>
          <w:sz w:val="24"/>
          <w:szCs w:val="24"/>
        </w:rPr>
        <w:t xml:space="preserve"> (</w:t>
      </w:r>
      <w:proofErr w:type="spellStart"/>
      <w:r w:rsidR="00F270C6">
        <w:rPr>
          <w:rFonts w:ascii="Arial" w:hAnsi="Arial" w:cs="Arial"/>
          <w:sz w:val="24"/>
          <w:szCs w:val="24"/>
        </w:rPr>
        <w:t>Kalinoski</w:t>
      </w:r>
      <w:proofErr w:type="spellEnd"/>
      <w:r w:rsidR="00F270C6">
        <w:rPr>
          <w:rFonts w:ascii="Arial" w:hAnsi="Arial" w:cs="Arial"/>
          <w:sz w:val="24"/>
          <w:szCs w:val="24"/>
        </w:rPr>
        <w:t xml:space="preserve"> and Nelson, 2013). </w:t>
      </w:r>
    </w:p>
    <w:p w:rsidR="001C7F4E" w:rsidRDefault="009540FF" w:rsidP="001C7F4E">
      <w:pPr>
        <w:jc w:val="center"/>
        <w:rPr>
          <w:rFonts w:ascii="Arial" w:hAnsi="Arial" w:cs="Arial"/>
          <w:b/>
          <w:sz w:val="24"/>
          <w:szCs w:val="24"/>
        </w:rPr>
      </w:pPr>
      <w:proofErr w:type="spellStart"/>
      <w:r>
        <w:rPr>
          <w:rFonts w:ascii="Arial" w:hAnsi="Arial" w:cs="Arial"/>
          <w:b/>
          <w:sz w:val="24"/>
          <w:szCs w:val="24"/>
        </w:rPr>
        <w:t>RoboCop</w:t>
      </w:r>
      <w:proofErr w:type="spellEnd"/>
      <w:r>
        <w:rPr>
          <w:rFonts w:ascii="Arial" w:hAnsi="Arial" w:cs="Arial"/>
          <w:b/>
          <w:sz w:val="24"/>
          <w:szCs w:val="24"/>
        </w:rPr>
        <w:t xml:space="preserve"> </w:t>
      </w:r>
      <w:r w:rsidR="001C7F4E">
        <w:rPr>
          <w:rFonts w:ascii="Arial" w:hAnsi="Arial" w:cs="Arial"/>
          <w:b/>
          <w:sz w:val="24"/>
          <w:szCs w:val="24"/>
        </w:rPr>
        <w:t>Results</w:t>
      </w:r>
    </w:p>
    <w:p w:rsidR="007B3201" w:rsidRDefault="001C7F4E" w:rsidP="00B658B8">
      <w:pPr>
        <w:ind w:firstLine="720"/>
        <w:rPr>
          <w:rFonts w:ascii="Arial" w:hAnsi="Arial" w:cs="Arial"/>
          <w:sz w:val="24"/>
          <w:szCs w:val="24"/>
        </w:rPr>
      </w:pPr>
      <w:r>
        <w:rPr>
          <w:rFonts w:ascii="Arial" w:hAnsi="Arial" w:cs="Arial"/>
          <w:sz w:val="24"/>
          <w:szCs w:val="24"/>
        </w:rPr>
        <w:t>Our results are shown in the following Table</w:t>
      </w:r>
      <w:r w:rsidR="00360B6D">
        <w:rPr>
          <w:rFonts w:ascii="Arial" w:hAnsi="Arial" w:cs="Arial"/>
          <w:sz w:val="24"/>
          <w:szCs w:val="24"/>
        </w:rPr>
        <w:t>s</w:t>
      </w:r>
      <w:r>
        <w:rPr>
          <w:rFonts w:ascii="Arial" w:hAnsi="Arial" w:cs="Arial"/>
          <w:sz w:val="24"/>
          <w:szCs w:val="24"/>
        </w:rPr>
        <w:t xml:space="preserve"> </w:t>
      </w:r>
      <w:r w:rsidR="009540FF">
        <w:rPr>
          <w:rFonts w:ascii="Arial" w:hAnsi="Arial" w:cs="Arial"/>
          <w:sz w:val="24"/>
          <w:szCs w:val="24"/>
        </w:rPr>
        <w:t>2</w:t>
      </w:r>
      <w:r>
        <w:rPr>
          <w:rFonts w:ascii="Arial" w:hAnsi="Arial" w:cs="Arial"/>
          <w:sz w:val="24"/>
          <w:szCs w:val="24"/>
        </w:rPr>
        <w:t xml:space="preserve"> and </w:t>
      </w:r>
      <w:r w:rsidR="009540FF">
        <w:rPr>
          <w:rFonts w:ascii="Arial" w:hAnsi="Arial" w:cs="Arial"/>
          <w:sz w:val="24"/>
          <w:szCs w:val="24"/>
        </w:rPr>
        <w:t xml:space="preserve">3 where we added our corporate governance model scores to the previously identified key variables for our </w:t>
      </w:r>
      <w:proofErr w:type="spellStart"/>
      <w:r w:rsidR="009540FF">
        <w:rPr>
          <w:rFonts w:ascii="Arial" w:hAnsi="Arial" w:cs="Arial"/>
          <w:sz w:val="24"/>
          <w:szCs w:val="24"/>
        </w:rPr>
        <w:t>RoboCop</w:t>
      </w:r>
      <w:proofErr w:type="spellEnd"/>
      <w:r w:rsidR="009540FF">
        <w:rPr>
          <w:rFonts w:ascii="Arial" w:hAnsi="Arial" w:cs="Arial"/>
          <w:sz w:val="24"/>
          <w:szCs w:val="24"/>
        </w:rPr>
        <w:t xml:space="preserve"> model scores</w:t>
      </w:r>
      <w:r>
        <w:rPr>
          <w:rFonts w:ascii="Arial" w:hAnsi="Arial" w:cs="Arial"/>
          <w:sz w:val="24"/>
          <w:szCs w:val="24"/>
        </w:rPr>
        <w:t xml:space="preserve">.  In Table </w:t>
      </w:r>
      <w:r w:rsidR="009540FF">
        <w:rPr>
          <w:rFonts w:ascii="Arial" w:hAnsi="Arial" w:cs="Arial"/>
          <w:sz w:val="24"/>
          <w:szCs w:val="24"/>
        </w:rPr>
        <w:t>2</w:t>
      </w:r>
      <w:r>
        <w:rPr>
          <w:rFonts w:ascii="Arial" w:hAnsi="Arial" w:cs="Arial"/>
          <w:sz w:val="24"/>
          <w:szCs w:val="24"/>
        </w:rPr>
        <w:t xml:space="preserve">, the </w:t>
      </w:r>
      <w:r w:rsidR="009540FF">
        <w:rPr>
          <w:rFonts w:ascii="Arial" w:hAnsi="Arial" w:cs="Arial"/>
          <w:sz w:val="24"/>
          <w:szCs w:val="24"/>
        </w:rPr>
        <w:t>six</w:t>
      </w:r>
      <w:r>
        <w:rPr>
          <w:rFonts w:ascii="Arial" w:hAnsi="Arial" w:cs="Arial"/>
          <w:sz w:val="24"/>
          <w:szCs w:val="24"/>
        </w:rPr>
        <w:t xml:space="preserve"> gold mining companies were analyzed to develop an approach or model for a SEC AQM or </w:t>
      </w:r>
      <w:proofErr w:type="spellStart"/>
      <w:r>
        <w:rPr>
          <w:rFonts w:ascii="Arial" w:hAnsi="Arial" w:cs="Arial"/>
          <w:sz w:val="24"/>
          <w:szCs w:val="24"/>
        </w:rPr>
        <w:t>RoboCop</w:t>
      </w:r>
      <w:proofErr w:type="spellEnd"/>
      <w:r>
        <w:rPr>
          <w:rFonts w:ascii="Arial" w:hAnsi="Arial" w:cs="Arial"/>
          <w:sz w:val="24"/>
          <w:szCs w:val="24"/>
        </w:rPr>
        <w:t xml:space="preserve"> score</w:t>
      </w:r>
      <w:r w:rsidR="009540FF">
        <w:rPr>
          <w:rFonts w:ascii="Arial" w:hAnsi="Arial" w:cs="Arial"/>
          <w:sz w:val="24"/>
          <w:szCs w:val="24"/>
        </w:rPr>
        <w:t xml:space="preserve"> for each company which was then correlated with the two-year market cap destruction of each company</w:t>
      </w:r>
      <w:r>
        <w:rPr>
          <w:rFonts w:ascii="Arial" w:hAnsi="Arial" w:cs="Arial"/>
          <w:sz w:val="24"/>
          <w:szCs w:val="24"/>
        </w:rPr>
        <w:t>.</w:t>
      </w:r>
      <w:r w:rsidR="009540FF">
        <w:rPr>
          <w:rFonts w:ascii="Arial" w:hAnsi="Arial" w:cs="Arial"/>
          <w:sz w:val="24"/>
          <w:szCs w:val="24"/>
        </w:rPr>
        <w:t xml:space="preserve">  </w:t>
      </w:r>
      <w:r w:rsidR="00F97510">
        <w:rPr>
          <w:rFonts w:ascii="Arial" w:hAnsi="Arial" w:cs="Arial"/>
          <w:sz w:val="24"/>
          <w:szCs w:val="24"/>
        </w:rPr>
        <w:t xml:space="preserve">Table 2 shows the five initial warning signs or risk indicators (X1-X5) that each correlated the highest with the market cap destruction of each of the six companies. </w:t>
      </w:r>
      <w:r w:rsidR="009540FF">
        <w:rPr>
          <w:rFonts w:ascii="Arial" w:hAnsi="Arial" w:cs="Arial"/>
          <w:sz w:val="24"/>
          <w:szCs w:val="24"/>
        </w:rPr>
        <w:t>The initial correlation was 85% which was a strong positive correlation.  When our corporate governance model score</w:t>
      </w:r>
      <w:r w:rsidR="00DA6C49">
        <w:rPr>
          <w:rFonts w:ascii="Arial" w:hAnsi="Arial" w:cs="Arial"/>
          <w:sz w:val="24"/>
          <w:szCs w:val="24"/>
        </w:rPr>
        <w:t>s</w:t>
      </w:r>
      <w:r w:rsidR="009540FF">
        <w:rPr>
          <w:rFonts w:ascii="Arial" w:hAnsi="Arial" w:cs="Arial"/>
          <w:sz w:val="24"/>
          <w:szCs w:val="24"/>
        </w:rPr>
        <w:t xml:space="preserve"> </w:t>
      </w:r>
      <w:r w:rsidR="00F97510">
        <w:rPr>
          <w:rFonts w:ascii="Arial" w:hAnsi="Arial" w:cs="Arial"/>
          <w:sz w:val="24"/>
          <w:szCs w:val="24"/>
        </w:rPr>
        <w:t xml:space="preserve">(X6) </w:t>
      </w:r>
      <w:r w:rsidR="009540FF">
        <w:rPr>
          <w:rFonts w:ascii="Arial" w:hAnsi="Arial" w:cs="Arial"/>
          <w:sz w:val="24"/>
          <w:szCs w:val="24"/>
        </w:rPr>
        <w:t>w</w:t>
      </w:r>
      <w:r w:rsidR="00DA6C49">
        <w:rPr>
          <w:rFonts w:ascii="Arial" w:hAnsi="Arial" w:cs="Arial"/>
          <w:sz w:val="24"/>
          <w:szCs w:val="24"/>
        </w:rPr>
        <w:t>ere</w:t>
      </w:r>
      <w:r w:rsidR="009540FF">
        <w:rPr>
          <w:rFonts w:ascii="Arial" w:hAnsi="Arial" w:cs="Arial"/>
          <w:sz w:val="24"/>
          <w:szCs w:val="24"/>
        </w:rPr>
        <w:t xml:space="preserve"> added to the </w:t>
      </w:r>
      <w:proofErr w:type="spellStart"/>
      <w:r w:rsidR="009540FF">
        <w:rPr>
          <w:rFonts w:ascii="Arial" w:hAnsi="Arial" w:cs="Arial"/>
          <w:sz w:val="24"/>
          <w:szCs w:val="24"/>
        </w:rPr>
        <w:t>RoboCop</w:t>
      </w:r>
      <w:proofErr w:type="spellEnd"/>
      <w:r w:rsidR="009540FF">
        <w:rPr>
          <w:rFonts w:ascii="Arial" w:hAnsi="Arial" w:cs="Arial"/>
          <w:sz w:val="24"/>
          <w:szCs w:val="24"/>
        </w:rPr>
        <w:t xml:space="preserve"> model, the correlation improved to 87%.</w:t>
      </w:r>
      <w:r w:rsidR="007B3201">
        <w:rPr>
          <w:rFonts w:ascii="Arial" w:hAnsi="Arial" w:cs="Arial"/>
          <w:sz w:val="24"/>
          <w:szCs w:val="24"/>
        </w:rPr>
        <w:t xml:space="preserve"> </w:t>
      </w:r>
      <w:r>
        <w:rPr>
          <w:rFonts w:ascii="Arial" w:hAnsi="Arial" w:cs="Arial"/>
          <w:sz w:val="24"/>
          <w:szCs w:val="24"/>
        </w:rPr>
        <w:t xml:space="preserve">In Table </w:t>
      </w:r>
      <w:r w:rsidR="009540FF">
        <w:rPr>
          <w:rFonts w:ascii="Arial" w:hAnsi="Arial" w:cs="Arial"/>
          <w:sz w:val="24"/>
          <w:szCs w:val="24"/>
        </w:rPr>
        <w:t>3</w:t>
      </w:r>
      <w:r>
        <w:rPr>
          <w:rFonts w:ascii="Arial" w:hAnsi="Arial" w:cs="Arial"/>
          <w:sz w:val="24"/>
          <w:szCs w:val="24"/>
        </w:rPr>
        <w:t xml:space="preserve">, this model was applied to </w:t>
      </w:r>
      <w:r w:rsidR="00360B6D">
        <w:rPr>
          <w:rFonts w:ascii="Arial" w:hAnsi="Arial" w:cs="Arial"/>
          <w:sz w:val="24"/>
          <w:szCs w:val="24"/>
        </w:rPr>
        <w:t>the one-year market cap destructions of these six companies</w:t>
      </w:r>
      <w:r w:rsidR="007B3201">
        <w:rPr>
          <w:rFonts w:ascii="Arial" w:hAnsi="Arial" w:cs="Arial"/>
          <w:sz w:val="24"/>
          <w:szCs w:val="24"/>
        </w:rPr>
        <w:t xml:space="preserve"> and the initial strong positive correlation of 80% did not change with the addition of our corporate governance scores.</w:t>
      </w:r>
      <w:r>
        <w:rPr>
          <w:rFonts w:ascii="Arial" w:hAnsi="Arial" w:cs="Arial"/>
          <w:sz w:val="24"/>
          <w:szCs w:val="24"/>
        </w:rPr>
        <w:t xml:space="preserve">  </w:t>
      </w:r>
    </w:p>
    <w:p w:rsidR="001C7F4E" w:rsidRDefault="001C7F4E" w:rsidP="00B658B8">
      <w:pPr>
        <w:ind w:firstLine="720"/>
        <w:rPr>
          <w:rFonts w:ascii="Arial" w:hAnsi="Arial" w:cs="Arial"/>
          <w:sz w:val="24"/>
          <w:szCs w:val="24"/>
        </w:rPr>
      </w:pPr>
      <w:r>
        <w:rPr>
          <w:rFonts w:ascii="Arial" w:hAnsi="Arial" w:cs="Arial"/>
          <w:sz w:val="24"/>
          <w:szCs w:val="24"/>
        </w:rPr>
        <w:t xml:space="preserve">  The Fog Index had one of the highest positive correlations at 0.64, indicating the potential of combining both non-financial and financial measures into an SEC AQM or </w:t>
      </w:r>
      <w:proofErr w:type="spellStart"/>
      <w:r>
        <w:rPr>
          <w:rFonts w:ascii="Arial" w:hAnsi="Arial" w:cs="Arial"/>
          <w:sz w:val="24"/>
          <w:szCs w:val="24"/>
        </w:rPr>
        <w:t>RoboCop</w:t>
      </w:r>
      <w:proofErr w:type="spellEnd"/>
      <w:r>
        <w:rPr>
          <w:rFonts w:ascii="Arial" w:hAnsi="Arial" w:cs="Arial"/>
          <w:sz w:val="24"/>
          <w:szCs w:val="24"/>
        </w:rPr>
        <w:t xml:space="preserve"> approach.  All of these correlations appeared to have reasonable validity, i.e., positive correlations with higher market cap destructions (big is bad) for a higher Fog Index, higher Debt to EBITDA, higher Intangibles to Total Assets</w:t>
      </w:r>
      <w:r w:rsidR="00DA6C49">
        <w:rPr>
          <w:rFonts w:ascii="Arial" w:hAnsi="Arial" w:cs="Arial"/>
          <w:sz w:val="24"/>
          <w:szCs w:val="24"/>
        </w:rPr>
        <w:t xml:space="preserve">, and higher (weaker) corporate governance scores </w:t>
      </w:r>
      <w:r>
        <w:rPr>
          <w:rFonts w:ascii="Arial" w:hAnsi="Arial" w:cs="Arial"/>
          <w:sz w:val="24"/>
          <w:szCs w:val="24"/>
        </w:rPr>
        <w:t>and negative correlations with higher market cap destructions (small is bad) for a lower quality of earnings ratio and lower accounts receivable to sales.</w:t>
      </w:r>
    </w:p>
    <w:p w:rsidR="001C7F4E" w:rsidRDefault="001C7F4E" w:rsidP="001C7F4E">
      <w:pPr>
        <w:rPr>
          <w:rFonts w:ascii="Arial" w:hAnsi="Arial" w:cs="Arial"/>
          <w:sz w:val="24"/>
          <w:szCs w:val="24"/>
        </w:rPr>
      </w:pPr>
      <w:r>
        <w:rPr>
          <w:rFonts w:ascii="Arial" w:hAnsi="Arial" w:cs="Arial"/>
          <w:sz w:val="24"/>
          <w:szCs w:val="24"/>
        </w:rPr>
        <w:tab/>
        <w:t xml:space="preserve">Reasonable validity for these </w:t>
      </w:r>
      <w:r w:rsidR="00DA6C49">
        <w:rPr>
          <w:rFonts w:ascii="Arial" w:hAnsi="Arial" w:cs="Arial"/>
          <w:sz w:val="24"/>
          <w:szCs w:val="24"/>
        </w:rPr>
        <w:t>six</w:t>
      </w:r>
      <w:r>
        <w:rPr>
          <w:rFonts w:ascii="Arial" w:hAnsi="Arial" w:cs="Arial"/>
          <w:sz w:val="24"/>
          <w:szCs w:val="24"/>
        </w:rPr>
        <w:t xml:space="preserve"> factors can be demonstrated by recent examples.  Concerning the positive correlation of the Fog Index with market cap destruction (big is bad), the SEC made </w:t>
      </w:r>
      <w:proofErr w:type="spellStart"/>
      <w:r>
        <w:rPr>
          <w:rFonts w:ascii="Arial" w:hAnsi="Arial" w:cs="Arial"/>
          <w:sz w:val="24"/>
          <w:szCs w:val="24"/>
        </w:rPr>
        <w:t>Groupon</w:t>
      </w:r>
      <w:proofErr w:type="spellEnd"/>
      <w:r>
        <w:rPr>
          <w:rFonts w:ascii="Arial" w:hAnsi="Arial" w:cs="Arial"/>
          <w:sz w:val="24"/>
          <w:szCs w:val="24"/>
        </w:rPr>
        <w:t xml:space="preserve"> file an amended S-1 registration statement for its recent initial public offering (IPO) since there was an inadequate explanation of its newly created profitability metric:  Adjusted Consolidated Segment Operating Income (ASCOI). The subsequent amendment only described the mechanics of this ASCOI number, not any theoretical or practical justification (other than to keep adding back expenses in order to turn an operating loss into an operating profit).  Another S-1 amendment was required since </w:t>
      </w:r>
      <w:proofErr w:type="spellStart"/>
      <w:r>
        <w:rPr>
          <w:rFonts w:ascii="Arial" w:hAnsi="Arial" w:cs="Arial"/>
          <w:sz w:val="24"/>
          <w:szCs w:val="24"/>
        </w:rPr>
        <w:t>Groupon</w:t>
      </w:r>
      <w:proofErr w:type="spellEnd"/>
      <w:r>
        <w:rPr>
          <w:rFonts w:ascii="Arial" w:hAnsi="Arial" w:cs="Arial"/>
          <w:sz w:val="24"/>
          <w:szCs w:val="24"/>
        </w:rPr>
        <w:t xml:space="preserve"> was using the gross, not net, revenue approach to calculate its revenues.  Such questions helped contribute to the decline in anticipated market cap of $31 billion to the actual $17 billion raised in the </w:t>
      </w:r>
      <w:proofErr w:type="spellStart"/>
      <w:r>
        <w:rPr>
          <w:rFonts w:ascii="Arial" w:hAnsi="Arial" w:cs="Arial"/>
          <w:sz w:val="24"/>
          <w:szCs w:val="24"/>
        </w:rPr>
        <w:t>Groupon</w:t>
      </w:r>
      <w:proofErr w:type="spellEnd"/>
      <w:r>
        <w:rPr>
          <w:rFonts w:ascii="Arial" w:hAnsi="Arial" w:cs="Arial"/>
          <w:sz w:val="24"/>
          <w:szCs w:val="24"/>
        </w:rPr>
        <w:t xml:space="preserve"> IPO. </w:t>
      </w:r>
      <w:proofErr w:type="spellStart"/>
      <w:r>
        <w:rPr>
          <w:rFonts w:ascii="Arial" w:hAnsi="Arial" w:cs="Arial"/>
          <w:sz w:val="24"/>
          <w:szCs w:val="24"/>
        </w:rPr>
        <w:t>Groupon’s</w:t>
      </w:r>
      <w:proofErr w:type="spellEnd"/>
      <w:r>
        <w:rPr>
          <w:rFonts w:ascii="Arial" w:hAnsi="Arial" w:cs="Arial"/>
          <w:sz w:val="24"/>
          <w:szCs w:val="24"/>
        </w:rPr>
        <w:t xml:space="preserve"> stock price has subsequently declined over 80% in the two years since the IPO, i.e. a market cap destruction of about $13.6 billion.</w:t>
      </w:r>
    </w:p>
    <w:p w:rsidR="001C7F4E" w:rsidRDefault="001C7F4E" w:rsidP="001C7F4E">
      <w:pPr>
        <w:rPr>
          <w:rFonts w:ascii="Arial" w:hAnsi="Arial" w:cs="Arial"/>
          <w:sz w:val="24"/>
          <w:szCs w:val="24"/>
        </w:rPr>
      </w:pPr>
      <w:r>
        <w:rPr>
          <w:rFonts w:ascii="Arial" w:hAnsi="Arial" w:cs="Arial"/>
          <w:sz w:val="24"/>
          <w:szCs w:val="24"/>
        </w:rPr>
        <w:tab/>
        <w:t xml:space="preserve">Concerning the positive correlation of the Debt to EBITDA ratio with market cap destruction (big is bad), this ratio is often used as a loan covenant.  For example, Qwest had a covenant that this ratio could not exceed 4 or the loan could be called.  Qwest </w:t>
      </w:r>
      <w:r>
        <w:rPr>
          <w:rFonts w:ascii="Arial" w:hAnsi="Arial" w:cs="Arial"/>
          <w:sz w:val="24"/>
          <w:szCs w:val="24"/>
        </w:rPr>
        <w:lastRenderedPageBreak/>
        <w:t xml:space="preserve">narrowly avoided violating this covenant by selling its most profitable division, yellow pages advertising, to a venture capitalist, often nicknamed vulture capitalists.  Concerning the positive correlation of the Intangibles to Total Assets ratio (big is bad), WorldCom hid $4 billion of operating expenses in long-term assets (both intangibles and tangibles) over a two year period. </w:t>
      </w:r>
      <w:r w:rsidR="00DA6C49">
        <w:rPr>
          <w:rFonts w:ascii="Arial" w:hAnsi="Arial" w:cs="Arial"/>
          <w:sz w:val="24"/>
          <w:szCs w:val="24"/>
        </w:rPr>
        <w:t xml:space="preserve"> Concerning the positive correlation of the corporate governance scores (big is bad and weaker corporate governance), Enron, WorldCom, Qwest, Tyco, </w:t>
      </w:r>
      <w:proofErr w:type="spellStart"/>
      <w:r w:rsidR="00DA6C49">
        <w:rPr>
          <w:rFonts w:ascii="Arial" w:hAnsi="Arial" w:cs="Arial"/>
          <w:sz w:val="24"/>
          <w:szCs w:val="24"/>
        </w:rPr>
        <w:t>Parmalat</w:t>
      </w:r>
      <w:proofErr w:type="spellEnd"/>
      <w:r w:rsidR="00DA6C49">
        <w:rPr>
          <w:rFonts w:ascii="Arial" w:hAnsi="Arial" w:cs="Arial"/>
          <w:sz w:val="24"/>
          <w:szCs w:val="24"/>
        </w:rPr>
        <w:t>, and Satyam (major frauds and market cap destructions of the 21</w:t>
      </w:r>
      <w:r w:rsidR="00DA6C49" w:rsidRPr="00DA6C49">
        <w:rPr>
          <w:rFonts w:ascii="Arial" w:hAnsi="Arial" w:cs="Arial"/>
          <w:sz w:val="24"/>
          <w:szCs w:val="24"/>
          <w:vertAlign w:val="superscript"/>
        </w:rPr>
        <w:t>st</w:t>
      </w:r>
      <w:r w:rsidR="00DA6C49">
        <w:rPr>
          <w:rFonts w:ascii="Arial" w:hAnsi="Arial" w:cs="Arial"/>
          <w:sz w:val="24"/>
          <w:szCs w:val="24"/>
        </w:rPr>
        <w:t xml:space="preserve"> Century) all have been shown to have weak corporate governance (Grove and </w:t>
      </w:r>
      <w:proofErr w:type="spellStart"/>
      <w:r w:rsidR="00DA6C49">
        <w:rPr>
          <w:rFonts w:ascii="Arial" w:hAnsi="Arial" w:cs="Arial"/>
          <w:sz w:val="24"/>
          <w:szCs w:val="24"/>
        </w:rPr>
        <w:t>Basilico</w:t>
      </w:r>
      <w:proofErr w:type="spellEnd"/>
      <w:r w:rsidR="00DA6C49">
        <w:rPr>
          <w:rFonts w:ascii="Arial" w:hAnsi="Arial" w:cs="Arial"/>
          <w:sz w:val="24"/>
          <w:szCs w:val="24"/>
        </w:rPr>
        <w:t>, 2011).</w:t>
      </w:r>
    </w:p>
    <w:p w:rsidR="001C7F4E" w:rsidRDefault="001C7F4E" w:rsidP="001C7F4E">
      <w:pPr>
        <w:rPr>
          <w:rFonts w:ascii="Arial" w:hAnsi="Arial" w:cs="Arial"/>
          <w:sz w:val="24"/>
          <w:szCs w:val="24"/>
        </w:rPr>
      </w:pPr>
      <w:r>
        <w:rPr>
          <w:rFonts w:ascii="Arial" w:hAnsi="Arial" w:cs="Arial"/>
          <w:sz w:val="24"/>
          <w:szCs w:val="24"/>
        </w:rPr>
        <w:tab/>
        <w:t>Concerning the negative correlation of quality of earnings with market cap destruction (small is bad since operating cash flows (OCF) are divided by earnings),  one of the SEC’s warning signs is a big difference between net income and actual cash outflows available to investors which starts with OCF.  There were five Chinese IPO and RTO companies that destroyed $4.1 billion of market cap on U.S. stock exchanges or 10% of the recent $40 billion market cap destruction by such Chinese companies.  The quality of earnings signaled a red flag (small is bad: less than 1) 42% of the time in the 19 reporting years of these Chinese companies’ filings with the SEC</w:t>
      </w:r>
      <w:r w:rsidR="00073F4A">
        <w:rPr>
          <w:rFonts w:ascii="Arial" w:hAnsi="Arial" w:cs="Arial"/>
          <w:sz w:val="24"/>
          <w:szCs w:val="24"/>
        </w:rPr>
        <w:t xml:space="preserve"> (Grove and Clouse, 2014)</w:t>
      </w:r>
      <w:r>
        <w:rPr>
          <w:rFonts w:ascii="Arial" w:hAnsi="Arial" w:cs="Arial"/>
          <w:sz w:val="24"/>
          <w:szCs w:val="24"/>
        </w:rPr>
        <w:t xml:space="preserve">. </w:t>
      </w:r>
    </w:p>
    <w:p w:rsidR="001C7F4E" w:rsidRDefault="001C7F4E" w:rsidP="001C7F4E">
      <w:pPr>
        <w:rPr>
          <w:rFonts w:ascii="Arial" w:hAnsi="Arial" w:cs="Arial"/>
          <w:sz w:val="24"/>
          <w:szCs w:val="24"/>
        </w:rPr>
      </w:pPr>
      <w:r>
        <w:rPr>
          <w:rFonts w:ascii="Arial" w:hAnsi="Arial" w:cs="Arial"/>
          <w:sz w:val="24"/>
          <w:szCs w:val="24"/>
        </w:rPr>
        <w:tab/>
        <w:t xml:space="preserve">Concerning the negative correlation of Accounts Receivable to Sales with market cap destruction (small is bad), several of these Chinese RTO companies created phony cash, not credit, sales so their accounts receivables were relatively low as a percentage of sales and, as a result, they had over 50% of their total assets in phony or overstated cash.  (Grove and Clouse, Ibid.)  Similarly, Enron, </w:t>
      </w:r>
      <w:proofErr w:type="spellStart"/>
      <w:r>
        <w:rPr>
          <w:rFonts w:ascii="Arial" w:hAnsi="Arial" w:cs="Arial"/>
          <w:sz w:val="24"/>
          <w:szCs w:val="24"/>
        </w:rPr>
        <w:t>Parmalat</w:t>
      </w:r>
      <w:proofErr w:type="spellEnd"/>
      <w:r>
        <w:rPr>
          <w:rFonts w:ascii="Arial" w:hAnsi="Arial" w:cs="Arial"/>
          <w:sz w:val="24"/>
          <w:szCs w:val="24"/>
        </w:rPr>
        <w:t xml:space="preserve"> (nicknamed “Europe’s Enron”), and Satyam (nicknamed “Asia’s Enron”) all had over $1 billion of phony cash on their last fraudulent balance sheets</w:t>
      </w:r>
      <w:r w:rsidR="00073F4A">
        <w:rPr>
          <w:rFonts w:ascii="Arial" w:hAnsi="Arial" w:cs="Arial"/>
          <w:sz w:val="24"/>
          <w:szCs w:val="24"/>
        </w:rPr>
        <w:t xml:space="preserve"> (</w:t>
      </w:r>
      <w:proofErr w:type="spellStart"/>
      <w:r w:rsidR="00073F4A">
        <w:rPr>
          <w:rFonts w:ascii="Arial" w:hAnsi="Arial" w:cs="Arial"/>
          <w:sz w:val="24"/>
          <w:szCs w:val="24"/>
        </w:rPr>
        <w:t>Basilico</w:t>
      </w:r>
      <w:proofErr w:type="spellEnd"/>
      <w:r w:rsidR="00073F4A">
        <w:rPr>
          <w:rFonts w:ascii="Arial" w:hAnsi="Arial" w:cs="Arial"/>
          <w:sz w:val="24"/>
          <w:szCs w:val="24"/>
        </w:rPr>
        <w:t xml:space="preserve"> et. al., 2012)</w:t>
      </w:r>
      <w:r>
        <w:rPr>
          <w:rFonts w:ascii="Arial" w:hAnsi="Arial" w:cs="Arial"/>
          <w:sz w:val="24"/>
          <w:szCs w:val="24"/>
        </w:rPr>
        <w:t xml:space="preserve">.  </w:t>
      </w:r>
    </w:p>
    <w:p w:rsidR="001C7F4E" w:rsidRPr="00584063" w:rsidRDefault="001C7F4E" w:rsidP="001C7F4E">
      <w:pPr>
        <w:rPr>
          <w:rFonts w:ascii="Arial" w:hAnsi="Arial" w:cs="Arial"/>
          <w:sz w:val="24"/>
          <w:szCs w:val="24"/>
        </w:rPr>
      </w:pPr>
      <w:r>
        <w:rPr>
          <w:rFonts w:ascii="Arial" w:hAnsi="Arial" w:cs="Arial"/>
          <w:sz w:val="24"/>
          <w:szCs w:val="24"/>
        </w:rPr>
        <w:tab/>
        <w:t>For the weighting issue of how to integrate all these key variables</w:t>
      </w:r>
      <w:r w:rsidR="007B3201">
        <w:rPr>
          <w:rFonts w:ascii="Arial" w:hAnsi="Arial" w:cs="Arial"/>
          <w:sz w:val="24"/>
          <w:szCs w:val="24"/>
        </w:rPr>
        <w:t xml:space="preserve">, including </w:t>
      </w:r>
      <w:r w:rsidR="00DA6C49">
        <w:rPr>
          <w:rFonts w:ascii="Arial" w:hAnsi="Arial" w:cs="Arial"/>
          <w:sz w:val="24"/>
          <w:szCs w:val="24"/>
        </w:rPr>
        <w:t>the</w:t>
      </w:r>
      <w:r w:rsidR="007B3201">
        <w:rPr>
          <w:rFonts w:ascii="Arial" w:hAnsi="Arial" w:cs="Arial"/>
          <w:sz w:val="24"/>
          <w:szCs w:val="24"/>
        </w:rPr>
        <w:t xml:space="preserve"> corporate governance scores,</w:t>
      </w:r>
      <w:r>
        <w:rPr>
          <w:rFonts w:ascii="Arial" w:hAnsi="Arial" w:cs="Arial"/>
          <w:sz w:val="24"/>
          <w:szCs w:val="24"/>
        </w:rPr>
        <w:t xml:space="preserve"> into an aggregate AQM or </w:t>
      </w:r>
      <w:proofErr w:type="spellStart"/>
      <w:r>
        <w:rPr>
          <w:rFonts w:ascii="Arial" w:hAnsi="Arial" w:cs="Arial"/>
          <w:sz w:val="24"/>
          <w:szCs w:val="24"/>
        </w:rPr>
        <w:t>RoboCop</w:t>
      </w:r>
      <w:proofErr w:type="spellEnd"/>
      <w:r>
        <w:rPr>
          <w:rFonts w:ascii="Arial" w:hAnsi="Arial" w:cs="Arial"/>
          <w:sz w:val="24"/>
          <w:szCs w:val="24"/>
        </w:rPr>
        <w:t xml:space="preserve"> score, we just used a simple approach of weighting each variable by its correlation coefficient with market cap destruction.  Thus, these Pearson Correlation Coefficients (socscistatistics.com/tests/</w:t>
      </w:r>
      <w:proofErr w:type="spellStart"/>
      <w:r>
        <w:rPr>
          <w:rFonts w:ascii="Arial" w:hAnsi="Arial" w:cs="Arial"/>
          <w:sz w:val="24"/>
          <w:szCs w:val="24"/>
        </w:rPr>
        <w:t>pearson</w:t>
      </w:r>
      <w:proofErr w:type="spellEnd"/>
      <w:r>
        <w:rPr>
          <w:rFonts w:ascii="Arial" w:hAnsi="Arial" w:cs="Arial"/>
          <w:sz w:val="24"/>
          <w:szCs w:val="24"/>
        </w:rPr>
        <w:t xml:space="preserve">) became the coefficients for the </w:t>
      </w:r>
      <w:r w:rsidR="007B3201">
        <w:rPr>
          <w:rFonts w:ascii="Arial" w:hAnsi="Arial" w:cs="Arial"/>
          <w:sz w:val="24"/>
          <w:szCs w:val="24"/>
        </w:rPr>
        <w:t>six</w:t>
      </w:r>
      <w:r>
        <w:rPr>
          <w:rFonts w:ascii="Arial" w:hAnsi="Arial" w:cs="Arial"/>
          <w:sz w:val="24"/>
          <w:szCs w:val="24"/>
        </w:rPr>
        <w:t xml:space="preserve"> variables that comprised the AQM or </w:t>
      </w:r>
      <w:proofErr w:type="spellStart"/>
      <w:r>
        <w:rPr>
          <w:rFonts w:ascii="Arial" w:hAnsi="Arial" w:cs="Arial"/>
          <w:sz w:val="24"/>
          <w:szCs w:val="24"/>
        </w:rPr>
        <w:t>RoboCop</w:t>
      </w:r>
      <w:proofErr w:type="spellEnd"/>
      <w:r>
        <w:rPr>
          <w:rFonts w:ascii="Arial" w:hAnsi="Arial" w:cs="Arial"/>
          <w:sz w:val="24"/>
          <w:szCs w:val="24"/>
        </w:rPr>
        <w:t xml:space="preserve"> overall score (see the equation in Table</w:t>
      </w:r>
      <w:r w:rsidR="007B3201">
        <w:rPr>
          <w:rFonts w:ascii="Arial" w:hAnsi="Arial" w:cs="Arial"/>
          <w:sz w:val="24"/>
          <w:szCs w:val="24"/>
        </w:rPr>
        <w:t>s</w:t>
      </w:r>
      <w:r>
        <w:rPr>
          <w:rFonts w:ascii="Arial" w:hAnsi="Arial" w:cs="Arial"/>
          <w:sz w:val="24"/>
          <w:szCs w:val="24"/>
        </w:rPr>
        <w:t xml:space="preserve"> </w:t>
      </w:r>
      <w:r w:rsidR="007B3201">
        <w:rPr>
          <w:rFonts w:ascii="Arial" w:hAnsi="Arial" w:cs="Arial"/>
          <w:sz w:val="24"/>
          <w:szCs w:val="24"/>
        </w:rPr>
        <w:t>2 and 3</w:t>
      </w:r>
      <w:r>
        <w:rPr>
          <w:rFonts w:ascii="Arial" w:hAnsi="Arial" w:cs="Arial"/>
          <w:sz w:val="24"/>
          <w:szCs w:val="24"/>
        </w:rPr>
        <w:t>). This somewhat arbitrary approach yielded an overall Pearson Correlation Coefficient of 0.8</w:t>
      </w:r>
      <w:r w:rsidR="007B3201">
        <w:rPr>
          <w:rFonts w:ascii="Arial" w:hAnsi="Arial" w:cs="Arial"/>
          <w:sz w:val="24"/>
          <w:szCs w:val="24"/>
        </w:rPr>
        <w:t>7</w:t>
      </w:r>
      <w:r>
        <w:rPr>
          <w:rFonts w:ascii="Arial" w:hAnsi="Arial" w:cs="Arial"/>
          <w:sz w:val="24"/>
          <w:szCs w:val="24"/>
        </w:rPr>
        <w:t xml:space="preserve">, a strong positive correlation, relating the Robocop scores to </w:t>
      </w:r>
      <w:r w:rsidR="007B3201">
        <w:rPr>
          <w:rFonts w:ascii="Arial" w:hAnsi="Arial" w:cs="Arial"/>
          <w:sz w:val="24"/>
          <w:szCs w:val="24"/>
        </w:rPr>
        <w:t xml:space="preserve">the two-year </w:t>
      </w:r>
      <w:r>
        <w:rPr>
          <w:rFonts w:ascii="Arial" w:hAnsi="Arial" w:cs="Arial"/>
          <w:sz w:val="24"/>
          <w:szCs w:val="24"/>
        </w:rPr>
        <w:t xml:space="preserve">market cap destruction for the </w:t>
      </w:r>
      <w:r w:rsidR="007B3201">
        <w:rPr>
          <w:rFonts w:ascii="Arial" w:hAnsi="Arial" w:cs="Arial"/>
          <w:sz w:val="24"/>
          <w:szCs w:val="24"/>
        </w:rPr>
        <w:t>six</w:t>
      </w:r>
      <w:r>
        <w:rPr>
          <w:rFonts w:ascii="Arial" w:hAnsi="Arial" w:cs="Arial"/>
          <w:sz w:val="24"/>
          <w:szCs w:val="24"/>
        </w:rPr>
        <w:t xml:space="preserve"> gold mining companies in Table </w:t>
      </w:r>
      <w:r w:rsidR="007B3201">
        <w:rPr>
          <w:rFonts w:ascii="Arial" w:hAnsi="Arial" w:cs="Arial"/>
          <w:sz w:val="24"/>
          <w:szCs w:val="24"/>
        </w:rPr>
        <w:t>2</w:t>
      </w:r>
      <w:r>
        <w:rPr>
          <w:rFonts w:ascii="Arial" w:hAnsi="Arial" w:cs="Arial"/>
          <w:sz w:val="24"/>
          <w:szCs w:val="24"/>
        </w:rPr>
        <w:t>.  T</w:t>
      </w:r>
      <w:r w:rsidRPr="00584063">
        <w:rPr>
          <w:rFonts w:ascii="Arial" w:hAnsi="Arial" w:cs="Arial"/>
          <w:sz w:val="24"/>
          <w:szCs w:val="24"/>
        </w:rPr>
        <w:t xml:space="preserve">his </w:t>
      </w:r>
      <w:proofErr w:type="spellStart"/>
      <w:r w:rsidRPr="00584063">
        <w:rPr>
          <w:rFonts w:ascii="Arial" w:hAnsi="Arial" w:cs="Arial"/>
          <w:sz w:val="24"/>
          <w:szCs w:val="24"/>
        </w:rPr>
        <w:t>RoboCop</w:t>
      </w:r>
      <w:proofErr w:type="spellEnd"/>
      <w:r w:rsidRPr="00584063">
        <w:rPr>
          <w:rFonts w:ascii="Arial" w:hAnsi="Arial" w:cs="Arial"/>
          <w:sz w:val="24"/>
          <w:szCs w:val="24"/>
        </w:rPr>
        <w:t xml:space="preserve"> equation was then used to investigate </w:t>
      </w:r>
      <w:r w:rsidR="007B3201">
        <w:rPr>
          <w:rFonts w:ascii="Arial" w:hAnsi="Arial" w:cs="Arial"/>
          <w:sz w:val="24"/>
          <w:szCs w:val="24"/>
        </w:rPr>
        <w:t>a one-year market cap destruction</w:t>
      </w:r>
      <w:r>
        <w:rPr>
          <w:rFonts w:ascii="Arial" w:hAnsi="Arial" w:cs="Arial"/>
          <w:sz w:val="24"/>
          <w:szCs w:val="24"/>
        </w:rPr>
        <w:t xml:space="preserve"> in Table </w:t>
      </w:r>
      <w:r w:rsidR="007B3201">
        <w:rPr>
          <w:rFonts w:ascii="Arial" w:hAnsi="Arial" w:cs="Arial"/>
          <w:sz w:val="24"/>
          <w:szCs w:val="24"/>
        </w:rPr>
        <w:t>3</w:t>
      </w:r>
      <w:r>
        <w:rPr>
          <w:rFonts w:ascii="Arial" w:hAnsi="Arial" w:cs="Arial"/>
          <w:sz w:val="24"/>
          <w:szCs w:val="24"/>
        </w:rPr>
        <w:t>.  The overall Pearson Correlation Coefficient of 0.</w:t>
      </w:r>
      <w:r w:rsidR="007B3201">
        <w:rPr>
          <w:rFonts w:ascii="Arial" w:hAnsi="Arial" w:cs="Arial"/>
          <w:sz w:val="24"/>
          <w:szCs w:val="24"/>
        </w:rPr>
        <w:t>80</w:t>
      </w:r>
      <w:r>
        <w:rPr>
          <w:rFonts w:ascii="Arial" w:hAnsi="Arial" w:cs="Arial"/>
          <w:sz w:val="24"/>
          <w:szCs w:val="24"/>
        </w:rPr>
        <w:t xml:space="preserve"> with market cap destruction was also a strong positive correlation.</w:t>
      </w:r>
      <w:r w:rsidRPr="00584063">
        <w:rPr>
          <w:rFonts w:ascii="Arial" w:hAnsi="Arial" w:cs="Arial"/>
          <w:sz w:val="24"/>
          <w:szCs w:val="24"/>
        </w:rPr>
        <w:t xml:space="preserve"> </w:t>
      </w:r>
    </w:p>
    <w:p w:rsidR="001C7F4E" w:rsidRDefault="001C7F4E" w:rsidP="001C7F4E">
      <w:pPr>
        <w:jc w:val="center"/>
        <w:rPr>
          <w:rFonts w:ascii="Arial" w:hAnsi="Arial" w:cs="Arial"/>
          <w:b/>
          <w:sz w:val="24"/>
          <w:szCs w:val="24"/>
        </w:rPr>
      </w:pPr>
      <w:r>
        <w:rPr>
          <w:rFonts w:ascii="Arial" w:hAnsi="Arial" w:cs="Arial"/>
          <w:b/>
          <w:sz w:val="24"/>
          <w:szCs w:val="24"/>
        </w:rPr>
        <w:t>Conclusions</w:t>
      </w:r>
    </w:p>
    <w:p w:rsidR="0091013D" w:rsidRDefault="001C7F4E" w:rsidP="001C7F4E">
      <w:pPr>
        <w:rPr>
          <w:rFonts w:ascii="Arial" w:hAnsi="Arial" w:cs="Arial"/>
          <w:sz w:val="24"/>
          <w:szCs w:val="24"/>
        </w:rPr>
      </w:pPr>
      <w:r>
        <w:rPr>
          <w:rFonts w:ascii="Arial" w:hAnsi="Arial" w:cs="Arial"/>
          <w:sz w:val="24"/>
          <w:szCs w:val="24"/>
        </w:rPr>
        <w:tab/>
        <w:t>Our approach appears to have potential for integrating both non-financial and financial measures</w:t>
      </w:r>
      <w:r w:rsidR="000E68F7">
        <w:rPr>
          <w:rFonts w:ascii="Arial" w:hAnsi="Arial" w:cs="Arial"/>
          <w:sz w:val="24"/>
          <w:szCs w:val="24"/>
        </w:rPr>
        <w:t>, especially corporate governance variables,</w:t>
      </w:r>
      <w:r>
        <w:rPr>
          <w:rFonts w:ascii="Arial" w:hAnsi="Arial" w:cs="Arial"/>
          <w:sz w:val="24"/>
          <w:szCs w:val="24"/>
        </w:rPr>
        <w:t xml:space="preserve"> into an overall rating </w:t>
      </w:r>
    </w:p>
    <w:p w:rsidR="0091013D" w:rsidRDefault="0091013D" w:rsidP="001C7F4E">
      <w:pPr>
        <w:rPr>
          <w:rFonts w:ascii="Arial" w:hAnsi="Arial" w:cs="Arial"/>
          <w:sz w:val="24"/>
          <w:szCs w:val="24"/>
        </w:rPr>
      </w:pPr>
    </w:p>
    <w:p w:rsidR="001C7F4E" w:rsidRDefault="001C7F4E" w:rsidP="001C7F4E">
      <w:pPr>
        <w:rPr>
          <w:rFonts w:ascii="Arial" w:hAnsi="Arial" w:cs="Arial"/>
          <w:sz w:val="24"/>
          <w:szCs w:val="24"/>
        </w:rPr>
      </w:pPr>
      <w:proofErr w:type="gramStart"/>
      <w:r>
        <w:rPr>
          <w:rFonts w:ascii="Arial" w:hAnsi="Arial" w:cs="Arial"/>
          <w:sz w:val="24"/>
          <w:szCs w:val="24"/>
        </w:rPr>
        <w:t>system</w:t>
      </w:r>
      <w:proofErr w:type="gramEnd"/>
      <w:r>
        <w:rPr>
          <w:rFonts w:ascii="Arial" w:hAnsi="Arial" w:cs="Arial"/>
          <w:sz w:val="24"/>
          <w:szCs w:val="24"/>
        </w:rPr>
        <w:t xml:space="preserve"> to help predict market cap</w:t>
      </w:r>
      <w:r w:rsidR="00C71119">
        <w:rPr>
          <w:rFonts w:ascii="Arial" w:hAnsi="Arial" w:cs="Arial"/>
          <w:sz w:val="24"/>
          <w:szCs w:val="24"/>
        </w:rPr>
        <w:t>italization</w:t>
      </w:r>
      <w:r>
        <w:rPr>
          <w:rFonts w:ascii="Arial" w:hAnsi="Arial" w:cs="Arial"/>
          <w:sz w:val="24"/>
          <w:szCs w:val="24"/>
        </w:rPr>
        <w:t xml:space="preserve"> destruction, using the example of the </w:t>
      </w:r>
      <w:r w:rsidR="000E68F7">
        <w:rPr>
          <w:rFonts w:ascii="Arial" w:hAnsi="Arial" w:cs="Arial"/>
          <w:sz w:val="24"/>
          <w:szCs w:val="24"/>
        </w:rPr>
        <w:t>largest six</w:t>
      </w:r>
      <w:r>
        <w:rPr>
          <w:rFonts w:ascii="Arial" w:hAnsi="Arial" w:cs="Arial"/>
          <w:sz w:val="24"/>
          <w:szCs w:val="24"/>
        </w:rPr>
        <w:t xml:space="preserve"> gold mining companies listed on U.S. stock exchanges.  Their </w:t>
      </w:r>
      <w:r w:rsidR="000E68F7">
        <w:rPr>
          <w:rFonts w:ascii="Arial" w:hAnsi="Arial" w:cs="Arial"/>
          <w:sz w:val="24"/>
          <w:szCs w:val="24"/>
        </w:rPr>
        <w:t xml:space="preserve">two-year </w:t>
      </w:r>
      <w:r>
        <w:rPr>
          <w:rFonts w:ascii="Arial" w:hAnsi="Arial" w:cs="Arial"/>
          <w:sz w:val="24"/>
          <w:szCs w:val="24"/>
        </w:rPr>
        <w:t>market cap destructions were calculated from the change in their stock prices from the Sept</w:t>
      </w:r>
      <w:r w:rsidR="000E68F7">
        <w:rPr>
          <w:rFonts w:ascii="Arial" w:hAnsi="Arial" w:cs="Arial"/>
          <w:sz w:val="24"/>
          <w:szCs w:val="24"/>
        </w:rPr>
        <w:t>ember</w:t>
      </w:r>
      <w:r>
        <w:rPr>
          <w:rFonts w:ascii="Arial" w:hAnsi="Arial" w:cs="Arial"/>
          <w:sz w:val="24"/>
          <w:szCs w:val="24"/>
        </w:rPr>
        <w:t xml:space="preserve"> 6, 2011 high point of the gold price to the two-year low of the gold price on December 24, 2013</w:t>
      </w:r>
      <w:r w:rsidR="000E68F7">
        <w:rPr>
          <w:rFonts w:ascii="Arial" w:hAnsi="Arial" w:cs="Arial"/>
          <w:sz w:val="24"/>
          <w:szCs w:val="24"/>
        </w:rPr>
        <w:t xml:space="preserve"> and their one-year market cap destructions from January 4, 2012 to January 31, 2014</w:t>
      </w:r>
      <w:r>
        <w:rPr>
          <w:rFonts w:ascii="Arial" w:hAnsi="Arial" w:cs="Arial"/>
          <w:sz w:val="24"/>
          <w:szCs w:val="24"/>
        </w:rPr>
        <w:t xml:space="preserve">.  However, we have developed just one approach for the SEC to consider in its flexible and adaptive approach to its AQM or </w:t>
      </w:r>
      <w:proofErr w:type="spellStart"/>
      <w:r>
        <w:rPr>
          <w:rFonts w:ascii="Arial" w:hAnsi="Arial" w:cs="Arial"/>
          <w:sz w:val="24"/>
          <w:szCs w:val="24"/>
        </w:rPr>
        <w:t>RoboCop</w:t>
      </w:r>
      <w:proofErr w:type="spellEnd"/>
      <w:r>
        <w:rPr>
          <w:rFonts w:ascii="Arial" w:hAnsi="Arial" w:cs="Arial"/>
          <w:sz w:val="24"/>
          <w:szCs w:val="24"/>
        </w:rPr>
        <w:t xml:space="preserve"> model for analyzing public company filings.  </w:t>
      </w:r>
    </w:p>
    <w:p w:rsidR="001C7F4E" w:rsidRDefault="001C7F4E" w:rsidP="001C7F4E">
      <w:pPr>
        <w:ind w:firstLine="720"/>
        <w:rPr>
          <w:rFonts w:ascii="Arial" w:hAnsi="Arial" w:cs="Arial"/>
          <w:sz w:val="24"/>
          <w:szCs w:val="24"/>
        </w:rPr>
      </w:pPr>
      <w:r>
        <w:rPr>
          <w:rFonts w:ascii="Arial" w:hAnsi="Arial" w:cs="Arial"/>
          <w:sz w:val="24"/>
          <w:szCs w:val="24"/>
        </w:rPr>
        <w:t xml:space="preserve">Our approach is encouraging since </w:t>
      </w:r>
      <w:r w:rsidR="000E68F7">
        <w:rPr>
          <w:rFonts w:ascii="Arial" w:hAnsi="Arial" w:cs="Arial"/>
          <w:sz w:val="24"/>
          <w:szCs w:val="24"/>
        </w:rPr>
        <w:t>both</w:t>
      </w:r>
      <w:r>
        <w:rPr>
          <w:rFonts w:ascii="Arial" w:hAnsi="Arial" w:cs="Arial"/>
          <w:sz w:val="24"/>
          <w:szCs w:val="24"/>
        </w:rPr>
        <w:t xml:space="preserve"> non-financial factor</w:t>
      </w:r>
      <w:r w:rsidR="000E68F7">
        <w:rPr>
          <w:rFonts w:ascii="Arial" w:hAnsi="Arial" w:cs="Arial"/>
          <w:sz w:val="24"/>
          <w:szCs w:val="24"/>
        </w:rPr>
        <w:t>s</w:t>
      </w:r>
      <w:r>
        <w:rPr>
          <w:rFonts w:ascii="Arial" w:hAnsi="Arial" w:cs="Arial"/>
          <w:sz w:val="24"/>
          <w:szCs w:val="24"/>
        </w:rPr>
        <w:t xml:space="preserve"> of </w:t>
      </w:r>
      <w:r w:rsidR="000E68F7">
        <w:rPr>
          <w:rFonts w:ascii="Arial" w:hAnsi="Arial" w:cs="Arial"/>
          <w:sz w:val="24"/>
          <w:szCs w:val="24"/>
        </w:rPr>
        <w:t xml:space="preserve">corporate governance scores and </w:t>
      </w:r>
      <w:r>
        <w:rPr>
          <w:rFonts w:ascii="Arial" w:hAnsi="Arial" w:cs="Arial"/>
          <w:sz w:val="24"/>
          <w:szCs w:val="24"/>
        </w:rPr>
        <w:t>the Fog Index had strong positive correlation</w:t>
      </w:r>
      <w:r w:rsidR="00C71119">
        <w:rPr>
          <w:rFonts w:ascii="Arial" w:hAnsi="Arial" w:cs="Arial"/>
          <w:sz w:val="24"/>
          <w:szCs w:val="24"/>
        </w:rPr>
        <w:t>s</w:t>
      </w:r>
      <w:r>
        <w:rPr>
          <w:rFonts w:ascii="Arial" w:hAnsi="Arial" w:cs="Arial"/>
          <w:sz w:val="24"/>
          <w:szCs w:val="24"/>
        </w:rPr>
        <w:t xml:space="preserve"> with</w:t>
      </w:r>
      <w:r w:rsidR="007D1501">
        <w:rPr>
          <w:rFonts w:ascii="Arial" w:hAnsi="Arial" w:cs="Arial"/>
          <w:sz w:val="24"/>
          <w:szCs w:val="24"/>
        </w:rPr>
        <w:t xml:space="preserve"> the two-year and one-year</w:t>
      </w:r>
      <w:r>
        <w:rPr>
          <w:rFonts w:ascii="Arial" w:hAnsi="Arial" w:cs="Arial"/>
          <w:sz w:val="24"/>
          <w:szCs w:val="24"/>
        </w:rPr>
        <w:t xml:space="preserve"> market cap destruction</w:t>
      </w:r>
      <w:r w:rsidR="007D1501">
        <w:rPr>
          <w:rFonts w:ascii="Arial" w:hAnsi="Arial" w:cs="Arial"/>
          <w:sz w:val="24"/>
          <w:szCs w:val="24"/>
        </w:rPr>
        <w:t>s</w:t>
      </w:r>
      <w:r>
        <w:rPr>
          <w:rFonts w:ascii="Arial" w:hAnsi="Arial" w:cs="Arial"/>
          <w:sz w:val="24"/>
          <w:szCs w:val="24"/>
        </w:rPr>
        <w:t xml:space="preserve"> for the </w:t>
      </w:r>
      <w:r w:rsidR="000E68F7">
        <w:rPr>
          <w:rFonts w:ascii="Arial" w:hAnsi="Arial" w:cs="Arial"/>
          <w:sz w:val="24"/>
          <w:szCs w:val="24"/>
        </w:rPr>
        <w:t>six</w:t>
      </w:r>
      <w:r>
        <w:rPr>
          <w:rFonts w:ascii="Arial" w:hAnsi="Arial" w:cs="Arial"/>
          <w:sz w:val="24"/>
          <w:szCs w:val="24"/>
        </w:rPr>
        <w:t xml:space="preserve"> gold mining companies</w:t>
      </w:r>
      <w:r w:rsidR="00C71119">
        <w:rPr>
          <w:rFonts w:ascii="Arial" w:hAnsi="Arial" w:cs="Arial"/>
          <w:sz w:val="24"/>
          <w:szCs w:val="24"/>
        </w:rPr>
        <w:t>.  These two non-financial measures</w:t>
      </w:r>
      <w:r>
        <w:rPr>
          <w:rFonts w:ascii="Arial" w:hAnsi="Arial" w:cs="Arial"/>
          <w:sz w:val="24"/>
          <w:szCs w:val="24"/>
        </w:rPr>
        <w:t xml:space="preserve"> became part of </w:t>
      </w:r>
      <w:r w:rsidR="00C71119">
        <w:rPr>
          <w:rFonts w:ascii="Arial" w:hAnsi="Arial" w:cs="Arial"/>
          <w:sz w:val="24"/>
          <w:szCs w:val="24"/>
        </w:rPr>
        <w:t>our</w:t>
      </w:r>
      <w:r>
        <w:rPr>
          <w:rFonts w:ascii="Arial" w:hAnsi="Arial" w:cs="Arial"/>
          <w:sz w:val="24"/>
          <w:szCs w:val="24"/>
        </w:rPr>
        <w:t xml:space="preserve"> overall </w:t>
      </w:r>
      <w:r w:rsidR="00C71119">
        <w:rPr>
          <w:rFonts w:ascii="Arial" w:hAnsi="Arial" w:cs="Arial"/>
          <w:sz w:val="24"/>
          <w:szCs w:val="24"/>
        </w:rPr>
        <w:t xml:space="preserve">SEC AQM or </w:t>
      </w:r>
      <w:proofErr w:type="spellStart"/>
      <w:r>
        <w:rPr>
          <w:rFonts w:ascii="Arial" w:hAnsi="Arial" w:cs="Arial"/>
          <w:sz w:val="24"/>
          <w:szCs w:val="24"/>
        </w:rPr>
        <w:t>RoboCop</w:t>
      </w:r>
      <w:proofErr w:type="spellEnd"/>
      <w:r>
        <w:rPr>
          <w:rFonts w:ascii="Arial" w:hAnsi="Arial" w:cs="Arial"/>
          <w:sz w:val="24"/>
          <w:szCs w:val="24"/>
        </w:rPr>
        <w:t xml:space="preserve"> model</w:t>
      </w:r>
      <w:r w:rsidR="00C71119">
        <w:rPr>
          <w:rFonts w:ascii="Arial" w:hAnsi="Arial" w:cs="Arial"/>
          <w:sz w:val="24"/>
          <w:szCs w:val="24"/>
        </w:rPr>
        <w:t xml:space="preserve"> which also had strong positive correlations with these market cap destructions.</w:t>
      </w:r>
      <w:r>
        <w:rPr>
          <w:rFonts w:ascii="Arial" w:hAnsi="Arial" w:cs="Arial"/>
          <w:sz w:val="24"/>
          <w:szCs w:val="24"/>
        </w:rPr>
        <w:t xml:space="preserve">  Thus, our approach shows that both non-financial and financial measures can be integrated into an overall model for </w:t>
      </w:r>
      <w:r w:rsidR="00C71119">
        <w:rPr>
          <w:rFonts w:ascii="Arial" w:hAnsi="Arial" w:cs="Arial"/>
          <w:sz w:val="24"/>
          <w:szCs w:val="24"/>
        </w:rPr>
        <w:t xml:space="preserve">analyzing </w:t>
      </w:r>
      <w:r>
        <w:rPr>
          <w:rFonts w:ascii="Arial" w:hAnsi="Arial" w:cs="Arial"/>
          <w:sz w:val="24"/>
          <w:szCs w:val="24"/>
        </w:rPr>
        <w:t>market cap destruction and, possibly for fraud detection</w:t>
      </w:r>
      <w:r w:rsidR="00310572">
        <w:rPr>
          <w:rFonts w:ascii="Arial" w:hAnsi="Arial" w:cs="Arial"/>
          <w:sz w:val="24"/>
          <w:szCs w:val="24"/>
        </w:rPr>
        <w:t>,</w:t>
      </w:r>
      <w:r>
        <w:rPr>
          <w:rFonts w:ascii="Arial" w:hAnsi="Arial" w:cs="Arial"/>
          <w:sz w:val="24"/>
          <w:szCs w:val="24"/>
        </w:rPr>
        <w:t xml:space="preserve"> </w:t>
      </w:r>
      <w:r w:rsidR="007D1501">
        <w:rPr>
          <w:rFonts w:ascii="Arial" w:hAnsi="Arial" w:cs="Arial"/>
          <w:sz w:val="24"/>
          <w:szCs w:val="24"/>
        </w:rPr>
        <w:t xml:space="preserve">as well as </w:t>
      </w:r>
      <w:r w:rsidR="00310572">
        <w:rPr>
          <w:rFonts w:ascii="Arial" w:hAnsi="Arial" w:cs="Arial"/>
          <w:sz w:val="24"/>
          <w:szCs w:val="24"/>
        </w:rPr>
        <w:t xml:space="preserve">enhancing </w:t>
      </w:r>
      <w:r w:rsidR="007D1501">
        <w:rPr>
          <w:rFonts w:ascii="Arial" w:hAnsi="Arial" w:cs="Arial"/>
          <w:sz w:val="24"/>
          <w:szCs w:val="24"/>
        </w:rPr>
        <w:t xml:space="preserve">corporate governance </w:t>
      </w:r>
      <w:r w:rsidR="00310572">
        <w:rPr>
          <w:rFonts w:ascii="Arial" w:hAnsi="Arial" w:cs="Arial"/>
          <w:sz w:val="24"/>
          <w:szCs w:val="24"/>
        </w:rPr>
        <w:t>for boards of directors</w:t>
      </w:r>
      <w:r w:rsidR="00C71119">
        <w:rPr>
          <w:rFonts w:ascii="Arial" w:hAnsi="Arial" w:cs="Arial"/>
          <w:sz w:val="24"/>
          <w:szCs w:val="24"/>
        </w:rPr>
        <w:t xml:space="preserve"> and management</w:t>
      </w:r>
      <w:r>
        <w:rPr>
          <w:rFonts w:ascii="Arial" w:hAnsi="Arial" w:cs="Arial"/>
          <w:sz w:val="24"/>
          <w:szCs w:val="24"/>
        </w:rPr>
        <w:t>.</w:t>
      </w:r>
    </w:p>
    <w:p w:rsidR="008D608C" w:rsidRDefault="008D608C" w:rsidP="001C7F4E">
      <w:pPr>
        <w:ind w:firstLine="720"/>
        <w:rPr>
          <w:rFonts w:ascii="Arial" w:hAnsi="Arial" w:cs="Arial"/>
          <w:sz w:val="24"/>
          <w:szCs w:val="24"/>
        </w:rPr>
      </w:pPr>
    </w:p>
    <w:p w:rsidR="008D608C" w:rsidRDefault="008D608C" w:rsidP="001C7F4E">
      <w:pPr>
        <w:ind w:firstLine="720"/>
        <w:rPr>
          <w:rFonts w:ascii="Arial" w:hAnsi="Arial" w:cs="Arial"/>
          <w:sz w:val="24"/>
          <w:szCs w:val="24"/>
        </w:rPr>
      </w:pPr>
    </w:p>
    <w:p w:rsidR="008D608C" w:rsidRDefault="008D608C" w:rsidP="001C7F4E">
      <w:pPr>
        <w:ind w:firstLine="720"/>
        <w:rPr>
          <w:rFonts w:ascii="Arial" w:hAnsi="Arial" w:cs="Arial"/>
          <w:sz w:val="24"/>
          <w:szCs w:val="24"/>
        </w:rPr>
      </w:pPr>
    </w:p>
    <w:p w:rsidR="008D608C" w:rsidRDefault="008D608C" w:rsidP="001C7F4E">
      <w:pPr>
        <w:ind w:firstLine="720"/>
        <w:rPr>
          <w:rFonts w:ascii="Arial" w:hAnsi="Arial" w:cs="Arial"/>
          <w:sz w:val="24"/>
          <w:szCs w:val="24"/>
        </w:rPr>
      </w:pPr>
    </w:p>
    <w:p w:rsidR="008D608C" w:rsidRDefault="008D608C" w:rsidP="001C7F4E">
      <w:pPr>
        <w:ind w:firstLine="720"/>
        <w:rPr>
          <w:rFonts w:ascii="Arial" w:hAnsi="Arial" w:cs="Arial"/>
          <w:sz w:val="24"/>
          <w:szCs w:val="24"/>
        </w:rPr>
      </w:pPr>
    </w:p>
    <w:p w:rsidR="008D608C" w:rsidRDefault="008D608C" w:rsidP="001C7F4E">
      <w:pPr>
        <w:ind w:firstLine="720"/>
        <w:rPr>
          <w:rFonts w:ascii="Arial" w:hAnsi="Arial" w:cs="Arial"/>
          <w:sz w:val="24"/>
          <w:szCs w:val="24"/>
        </w:rPr>
      </w:pPr>
    </w:p>
    <w:p w:rsidR="008D608C" w:rsidRDefault="008D608C" w:rsidP="001C7F4E">
      <w:pPr>
        <w:ind w:firstLine="720"/>
        <w:rPr>
          <w:rFonts w:ascii="Arial" w:hAnsi="Arial" w:cs="Arial"/>
          <w:sz w:val="24"/>
          <w:szCs w:val="24"/>
        </w:rPr>
      </w:pPr>
    </w:p>
    <w:p w:rsidR="008D608C" w:rsidRDefault="008D608C" w:rsidP="001C7F4E">
      <w:pPr>
        <w:ind w:firstLine="720"/>
        <w:rPr>
          <w:rFonts w:ascii="Arial" w:hAnsi="Arial" w:cs="Arial"/>
          <w:sz w:val="24"/>
          <w:szCs w:val="24"/>
        </w:rPr>
      </w:pPr>
    </w:p>
    <w:p w:rsidR="004D148E" w:rsidRDefault="004D148E" w:rsidP="001C7F4E">
      <w:pPr>
        <w:ind w:firstLine="720"/>
        <w:rPr>
          <w:rFonts w:ascii="Arial" w:hAnsi="Arial" w:cs="Arial"/>
          <w:sz w:val="24"/>
          <w:szCs w:val="24"/>
        </w:rPr>
      </w:pPr>
    </w:p>
    <w:p w:rsidR="004D148E" w:rsidRDefault="004D148E" w:rsidP="001C7F4E">
      <w:pPr>
        <w:ind w:firstLine="720"/>
        <w:rPr>
          <w:rFonts w:ascii="Arial" w:hAnsi="Arial" w:cs="Arial"/>
          <w:sz w:val="24"/>
          <w:szCs w:val="24"/>
        </w:rPr>
      </w:pPr>
    </w:p>
    <w:p w:rsidR="004D148E" w:rsidRDefault="004D148E" w:rsidP="001C7F4E">
      <w:pPr>
        <w:ind w:firstLine="720"/>
        <w:rPr>
          <w:rFonts w:ascii="Arial" w:hAnsi="Arial" w:cs="Arial"/>
          <w:sz w:val="24"/>
          <w:szCs w:val="24"/>
        </w:rPr>
      </w:pPr>
    </w:p>
    <w:p w:rsidR="004D148E" w:rsidRDefault="004D148E" w:rsidP="001C7F4E">
      <w:pPr>
        <w:ind w:firstLine="720"/>
        <w:rPr>
          <w:rFonts w:ascii="Arial" w:hAnsi="Arial" w:cs="Arial"/>
          <w:sz w:val="24"/>
          <w:szCs w:val="24"/>
        </w:rPr>
      </w:pPr>
    </w:p>
    <w:p w:rsidR="004D148E" w:rsidRDefault="004D148E" w:rsidP="001C7F4E">
      <w:pPr>
        <w:ind w:firstLine="720"/>
        <w:rPr>
          <w:rFonts w:ascii="Arial" w:hAnsi="Arial" w:cs="Arial"/>
          <w:sz w:val="24"/>
          <w:szCs w:val="24"/>
        </w:rPr>
      </w:pPr>
    </w:p>
    <w:p w:rsidR="008D608C" w:rsidRDefault="008D608C" w:rsidP="001C7F4E">
      <w:pPr>
        <w:ind w:firstLine="720"/>
        <w:rPr>
          <w:rFonts w:ascii="Arial" w:hAnsi="Arial" w:cs="Arial"/>
          <w:sz w:val="24"/>
          <w:szCs w:val="24"/>
        </w:rPr>
      </w:pPr>
    </w:p>
    <w:p w:rsidR="008D608C" w:rsidRDefault="008D608C" w:rsidP="001C7F4E">
      <w:pPr>
        <w:ind w:firstLine="720"/>
        <w:rPr>
          <w:rFonts w:ascii="Arial" w:hAnsi="Arial" w:cs="Arial"/>
          <w:sz w:val="24"/>
          <w:szCs w:val="24"/>
        </w:rPr>
      </w:pPr>
    </w:p>
    <w:p w:rsidR="008D608C" w:rsidRDefault="008D608C" w:rsidP="001C7F4E">
      <w:pPr>
        <w:ind w:firstLine="720"/>
        <w:rPr>
          <w:rFonts w:ascii="Arial" w:hAnsi="Arial" w:cs="Arial"/>
          <w:sz w:val="24"/>
          <w:szCs w:val="24"/>
        </w:rPr>
      </w:pPr>
    </w:p>
    <w:p w:rsidR="008D608C" w:rsidRDefault="008D608C" w:rsidP="001C7F4E">
      <w:pPr>
        <w:ind w:firstLine="720"/>
        <w:rPr>
          <w:rFonts w:ascii="Arial" w:hAnsi="Arial" w:cs="Arial"/>
          <w:sz w:val="24"/>
          <w:szCs w:val="24"/>
        </w:rPr>
      </w:pPr>
    </w:p>
    <w:tbl>
      <w:tblPr>
        <w:tblW w:w="9040" w:type="dxa"/>
        <w:tblLook w:val="04A0" w:firstRow="1" w:lastRow="0" w:firstColumn="1" w:lastColumn="0" w:noHBand="0" w:noVBand="1"/>
      </w:tblPr>
      <w:tblGrid>
        <w:gridCol w:w="1300"/>
        <w:gridCol w:w="960"/>
        <w:gridCol w:w="1020"/>
        <w:gridCol w:w="960"/>
        <w:gridCol w:w="960"/>
        <w:gridCol w:w="960"/>
        <w:gridCol w:w="960"/>
        <w:gridCol w:w="960"/>
        <w:gridCol w:w="960"/>
      </w:tblGrid>
      <w:tr w:rsidR="00BF618A" w:rsidRPr="00BF618A" w:rsidTr="00BF618A">
        <w:trPr>
          <w:trHeight w:val="300"/>
        </w:trPr>
        <w:tc>
          <w:tcPr>
            <w:tcW w:w="130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b/>
                <w:bCs/>
              </w:rPr>
            </w:pPr>
            <w:r w:rsidRPr="00BF618A">
              <w:rPr>
                <w:rFonts w:ascii="Arial" w:eastAsia="Times New Roman" w:hAnsi="Arial" w:cs="Arial"/>
                <w:b/>
                <w:bCs/>
              </w:rPr>
              <w:t>Table 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b/>
                <w:bCs/>
              </w:rPr>
            </w:pP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Default="00BF618A" w:rsidP="00BF618A">
            <w:pPr>
              <w:spacing w:after="0" w:line="240" w:lineRule="auto"/>
              <w:rPr>
                <w:rFonts w:ascii="Times New Roman" w:eastAsia="Times New Roman" w:hAnsi="Times New Roman" w:cs="Times New Roman"/>
                <w:sz w:val="20"/>
                <w:szCs w:val="20"/>
              </w:rPr>
            </w:pPr>
          </w:p>
          <w:p w:rsidR="0091013D" w:rsidRPr="00BF618A" w:rsidRDefault="0091013D" w:rsidP="00BF618A">
            <w:pPr>
              <w:spacing w:after="0" w:line="240" w:lineRule="auto"/>
              <w:rPr>
                <w:rFonts w:ascii="Times New Roman" w:eastAsia="Times New Roman" w:hAnsi="Times New Roman" w:cs="Times New Roman"/>
                <w:sz w:val="20"/>
                <w:szCs w:val="20"/>
              </w:rPr>
            </w:pPr>
          </w:p>
        </w:tc>
      </w:tr>
      <w:tr w:rsidR="00BF618A" w:rsidRPr="00BF618A" w:rsidTr="00BF618A">
        <w:trPr>
          <w:trHeight w:val="300"/>
        </w:trPr>
        <w:tc>
          <w:tcPr>
            <w:tcW w:w="7120" w:type="dxa"/>
            <w:gridSpan w:val="7"/>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r w:rsidRPr="00BF618A">
              <w:rPr>
                <w:rFonts w:ascii="Arial" w:eastAsia="Times New Roman" w:hAnsi="Arial" w:cs="Arial"/>
                <w:b/>
                <w:bCs/>
              </w:rPr>
              <w:t>Corporate Governance Data: "Big 6" Gold Mining Companies</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r>
      <w:tr w:rsidR="00BF618A" w:rsidRPr="00BF618A" w:rsidTr="00BF618A">
        <w:trPr>
          <w:trHeight w:val="300"/>
        </w:trPr>
        <w:tc>
          <w:tcPr>
            <w:tcW w:w="6160" w:type="dxa"/>
            <w:gridSpan w:val="6"/>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r w:rsidRPr="00BF618A">
              <w:rPr>
                <w:rFonts w:ascii="Arial" w:eastAsia="Times New Roman" w:hAnsi="Arial" w:cs="Arial"/>
                <w:b/>
                <w:bCs/>
              </w:rPr>
              <w:t>(All Dummy Variables: ON = 1 if &gt; Cutoff or OFF = 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r>
      <w:tr w:rsidR="00BF618A" w:rsidRPr="00BF618A" w:rsidTr="00BF618A">
        <w:trPr>
          <w:trHeight w:val="300"/>
        </w:trPr>
        <w:tc>
          <w:tcPr>
            <w:tcW w:w="130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r>
      <w:tr w:rsidR="00BF618A" w:rsidRPr="00BF618A" w:rsidTr="00BF618A">
        <w:trPr>
          <w:trHeight w:val="300"/>
        </w:trPr>
        <w:tc>
          <w:tcPr>
            <w:tcW w:w="2260" w:type="dxa"/>
            <w:gridSpan w:val="2"/>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r w:rsidRPr="00BF618A">
              <w:rPr>
                <w:rFonts w:ascii="Arial" w:eastAsia="Times New Roman" w:hAnsi="Arial" w:cs="Arial"/>
                <w:b/>
                <w:bCs/>
              </w:rPr>
              <w:t>Data or Variable:</w:t>
            </w: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b/>
                <w:bCs/>
              </w:rPr>
            </w:pPr>
            <w:r w:rsidRPr="00BF618A">
              <w:rPr>
                <w:rFonts w:ascii="Arial" w:eastAsia="Times New Roman" w:hAnsi="Arial" w:cs="Arial"/>
                <w:b/>
                <w:bCs/>
              </w:rPr>
              <w:t>ABX</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b/>
                <w:bCs/>
              </w:rPr>
            </w:pPr>
            <w:r w:rsidRPr="00BF618A">
              <w:rPr>
                <w:rFonts w:ascii="Arial" w:eastAsia="Times New Roman" w:hAnsi="Arial" w:cs="Arial"/>
                <w:b/>
                <w:bCs/>
              </w:rPr>
              <w:t>GG</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b/>
                <w:bCs/>
              </w:rPr>
            </w:pPr>
            <w:r w:rsidRPr="00BF618A">
              <w:rPr>
                <w:rFonts w:ascii="Arial" w:eastAsia="Times New Roman" w:hAnsi="Arial" w:cs="Arial"/>
                <w:b/>
                <w:bCs/>
              </w:rPr>
              <w:t>NEM</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b/>
                <w:bCs/>
              </w:rPr>
            </w:pPr>
            <w:r w:rsidRPr="00BF618A">
              <w:rPr>
                <w:rFonts w:ascii="Arial" w:eastAsia="Times New Roman" w:hAnsi="Arial" w:cs="Arial"/>
                <w:b/>
                <w:bCs/>
              </w:rPr>
              <w:t>KGC</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b/>
                <w:bCs/>
              </w:rPr>
            </w:pPr>
            <w:r w:rsidRPr="00BF618A">
              <w:rPr>
                <w:rFonts w:ascii="Arial" w:eastAsia="Times New Roman" w:hAnsi="Arial" w:cs="Arial"/>
                <w:b/>
                <w:bCs/>
              </w:rPr>
              <w:t>EGO</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b/>
                <w:bCs/>
              </w:rPr>
            </w:pPr>
            <w:r w:rsidRPr="00BF618A">
              <w:rPr>
                <w:rFonts w:ascii="Arial" w:eastAsia="Times New Roman" w:hAnsi="Arial" w:cs="Arial"/>
                <w:b/>
                <w:bCs/>
              </w:rPr>
              <w:t>IAG</w:t>
            </w:r>
          </w:p>
        </w:tc>
      </w:tr>
      <w:tr w:rsidR="00BF618A" w:rsidRPr="00BF618A" w:rsidTr="00BF618A">
        <w:trPr>
          <w:trHeight w:val="285"/>
        </w:trPr>
        <w:tc>
          <w:tcPr>
            <w:tcW w:w="130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300"/>
        </w:trPr>
        <w:tc>
          <w:tcPr>
            <w:tcW w:w="2260" w:type="dxa"/>
            <w:gridSpan w:val="2"/>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r w:rsidRPr="00BF618A">
              <w:rPr>
                <w:rFonts w:ascii="Arial" w:eastAsia="Times New Roman" w:hAnsi="Arial" w:cs="Arial"/>
                <w:b/>
                <w:bCs/>
              </w:rPr>
              <w:t>CEO Duality</w:t>
            </w: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r>
      <w:tr w:rsidR="00BF618A" w:rsidRPr="00BF618A" w:rsidTr="00BF618A">
        <w:trPr>
          <w:trHeight w:val="285"/>
        </w:trPr>
        <w:tc>
          <w:tcPr>
            <w:tcW w:w="3280" w:type="dxa"/>
            <w:gridSpan w:val="3"/>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r w:rsidRPr="00BF618A">
              <w:rPr>
                <w:rFonts w:ascii="Arial" w:eastAsia="Times New Roman" w:hAnsi="Arial" w:cs="Arial"/>
              </w:rPr>
              <w:t>(CEO is Chairman of Board)</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r>
      <w:tr w:rsidR="00BF618A" w:rsidRPr="00BF618A" w:rsidTr="00BF618A">
        <w:trPr>
          <w:trHeight w:val="285"/>
        </w:trPr>
        <w:tc>
          <w:tcPr>
            <w:tcW w:w="130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300"/>
        </w:trPr>
        <w:tc>
          <w:tcPr>
            <w:tcW w:w="3280" w:type="dxa"/>
            <w:gridSpan w:val="3"/>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r w:rsidRPr="00BF618A">
              <w:rPr>
                <w:rFonts w:ascii="Arial" w:eastAsia="Times New Roman" w:hAnsi="Arial" w:cs="Arial"/>
                <w:b/>
                <w:bCs/>
              </w:rPr>
              <w:t>Board Entrenchment</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285"/>
        </w:trPr>
        <w:tc>
          <w:tcPr>
            <w:tcW w:w="3280" w:type="dxa"/>
            <w:gridSpan w:val="3"/>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r w:rsidRPr="00BF618A">
              <w:rPr>
                <w:rFonts w:ascii="Arial" w:eastAsia="Times New Roman" w:hAnsi="Arial" w:cs="Arial"/>
              </w:rPr>
              <w:t xml:space="preserve">(On board &gt; 10 Years: &gt; 33%) </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r>
      <w:tr w:rsidR="00BF618A" w:rsidRPr="00BF618A" w:rsidTr="00BF618A">
        <w:trPr>
          <w:trHeight w:val="285"/>
        </w:trPr>
        <w:tc>
          <w:tcPr>
            <w:tcW w:w="3280" w:type="dxa"/>
            <w:gridSpan w:val="3"/>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r w:rsidRPr="00BF618A">
              <w:rPr>
                <w:rFonts w:ascii="Arial" w:eastAsia="Times New Roman" w:hAnsi="Arial" w:cs="Arial"/>
              </w:rPr>
              <w:t xml:space="preserve">(On board &gt; 5 Years: &gt; 70%) </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r>
      <w:tr w:rsidR="00BF618A" w:rsidRPr="00BF618A" w:rsidTr="00BF618A">
        <w:trPr>
          <w:trHeight w:val="285"/>
        </w:trPr>
        <w:tc>
          <w:tcPr>
            <w:tcW w:w="130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300"/>
        </w:trPr>
        <w:tc>
          <w:tcPr>
            <w:tcW w:w="3280" w:type="dxa"/>
            <w:gridSpan w:val="3"/>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r w:rsidRPr="00BF618A">
              <w:rPr>
                <w:rFonts w:ascii="Arial" w:eastAsia="Times New Roman" w:hAnsi="Arial" w:cs="Arial"/>
                <w:b/>
                <w:bCs/>
              </w:rPr>
              <w:t>Debt to Market Capitalization</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285"/>
        </w:trPr>
        <w:tc>
          <w:tcPr>
            <w:tcW w:w="2260" w:type="dxa"/>
            <w:gridSpan w:val="2"/>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r w:rsidRPr="00BF618A">
              <w:rPr>
                <w:rFonts w:ascii="Arial" w:eastAsia="Times New Roman" w:hAnsi="Arial" w:cs="Arial"/>
              </w:rPr>
              <w:t>(Cutoff is &gt; 25%)</w:t>
            </w: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r>
      <w:tr w:rsidR="00BF618A" w:rsidRPr="00BF618A" w:rsidTr="00BF618A">
        <w:trPr>
          <w:trHeight w:val="285"/>
        </w:trPr>
        <w:tc>
          <w:tcPr>
            <w:tcW w:w="130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300"/>
        </w:trPr>
        <w:tc>
          <w:tcPr>
            <w:tcW w:w="130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r w:rsidRPr="00BF618A">
              <w:rPr>
                <w:rFonts w:ascii="Arial" w:eastAsia="Times New Roman" w:hAnsi="Arial" w:cs="Arial"/>
                <w:b/>
                <w:bCs/>
              </w:rPr>
              <w:t>Board Size</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285"/>
        </w:trPr>
        <w:tc>
          <w:tcPr>
            <w:tcW w:w="2260" w:type="dxa"/>
            <w:gridSpan w:val="2"/>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r w:rsidRPr="00BF618A">
              <w:rPr>
                <w:rFonts w:ascii="Arial" w:eastAsia="Times New Roman" w:hAnsi="Arial" w:cs="Arial"/>
              </w:rPr>
              <w:t>(Cutoff is &gt; 10)</w:t>
            </w: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r>
      <w:tr w:rsidR="00BF618A" w:rsidRPr="00BF618A" w:rsidTr="00BF618A">
        <w:trPr>
          <w:trHeight w:val="285"/>
        </w:trPr>
        <w:tc>
          <w:tcPr>
            <w:tcW w:w="130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300"/>
        </w:trPr>
        <w:tc>
          <w:tcPr>
            <w:tcW w:w="3280" w:type="dxa"/>
            <w:gridSpan w:val="3"/>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r w:rsidRPr="00BF618A">
              <w:rPr>
                <w:rFonts w:ascii="Arial" w:eastAsia="Times New Roman" w:hAnsi="Arial" w:cs="Arial"/>
                <w:b/>
                <w:bCs/>
              </w:rPr>
              <w:t>Board Industry Inexperience</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285"/>
        </w:trPr>
        <w:tc>
          <w:tcPr>
            <w:tcW w:w="2260" w:type="dxa"/>
            <w:gridSpan w:val="2"/>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r w:rsidRPr="00BF618A">
              <w:rPr>
                <w:rFonts w:ascii="Arial" w:eastAsia="Times New Roman" w:hAnsi="Arial" w:cs="Arial"/>
              </w:rPr>
              <w:t>(Cutoff is &gt; 15%)</w:t>
            </w: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r>
      <w:tr w:rsidR="00BF618A" w:rsidRPr="00BF618A" w:rsidTr="00BF618A">
        <w:trPr>
          <w:trHeight w:val="285"/>
        </w:trPr>
        <w:tc>
          <w:tcPr>
            <w:tcW w:w="130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300"/>
        </w:trPr>
        <w:tc>
          <w:tcPr>
            <w:tcW w:w="3280" w:type="dxa"/>
            <w:gridSpan w:val="3"/>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r w:rsidRPr="00BF618A">
              <w:rPr>
                <w:rFonts w:ascii="Arial" w:eastAsia="Times New Roman" w:hAnsi="Arial" w:cs="Arial"/>
                <w:b/>
                <w:bCs/>
              </w:rPr>
              <w:t>"Mature" (Old) Directors</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285"/>
        </w:trPr>
        <w:tc>
          <w:tcPr>
            <w:tcW w:w="2260" w:type="dxa"/>
            <w:gridSpan w:val="2"/>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r w:rsidRPr="00BF618A">
              <w:rPr>
                <w:rFonts w:ascii="Arial" w:eastAsia="Times New Roman" w:hAnsi="Arial" w:cs="Arial"/>
              </w:rPr>
              <w:t>(&gt; 30% for &gt; 70 years)</w:t>
            </w: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r>
      <w:tr w:rsidR="00BF618A" w:rsidRPr="00BF618A" w:rsidTr="00BF618A">
        <w:trPr>
          <w:trHeight w:val="285"/>
        </w:trPr>
        <w:tc>
          <w:tcPr>
            <w:tcW w:w="2260" w:type="dxa"/>
            <w:gridSpan w:val="2"/>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r w:rsidRPr="00BF618A">
              <w:rPr>
                <w:rFonts w:ascii="Arial" w:eastAsia="Times New Roman" w:hAnsi="Arial" w:cs="Arial"/>
              </w:rPr>
              <w:t>(&gt; 50% for &gt; 60 years)</w:t>
            </w: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r>
      <w:tr w:rsidR="00BF618A" w:rsidRPr="00BF618A" w:rsidTr="00BF618A">
        <w:trPr>
          <w:trHeight w:val="285"/>
        </w:trPr>
        <w:tc>
          <w:tcPr>
            <w:tcW w:w="130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300"/>
        </w:trPr>
        <w:tc>
          <w:tcPr>
            <w:tcW w:w="4240" w:type="dxa"/>
            <w:gridSpan w:val="4"/>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r w:rsidRPr="00BF618A">
              <w:rPr>
                <w:rFonts w:ascii="Arial" w:eastAsia="Times New Roman" w:hAnsi="Arial" w:cs="Arial"/>
                <w:b/>
                <w:bCs/>
              </w:rPr>
              <w:t>Busy Directors on Other Boards</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285"/>
        </w:trPr>
        <w:tc>
          <w:tcPr>
            <w:tcW w:w="3280" w:type="dxa"/>
            <w:gridSpan w:val="3"/>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r w:rsidRPr="00BF618A">
              <w:rPr>
                <w:rFonts w:ascii="Arial" w:eastAsia="Times New Roman" w:hAnsi="Arial" w:cs="Arial"/>
              </w:rPr>
              <w:t>( &gt; 40% for &gt; 3 boards)</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r>
      <w:tr w:rsidR="00BF618A" w:rsidRPr="00BF618A" w:rsidTr="00BF618A">
        <w:trPr>
          <w:trHeight w:val="285"/>
        </w:trPr>
        <w:tc>
          <w:tcPr>
            <w:tcW w:w="130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300"/>
        </w:trPr>
        <w:tc>
          <w:tcPr>
            <w:tcW w:w="2260" w:type="dxa"/>
            <w:gridSpan w:val="2"/>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r w:rsidRPr="00BF618A">
              <w:rPr>
                <w:rFonts w:ascii="Arial" w:eastAsia="Times New Roman" w:hAnsi="Arial" w:cs="Arial"/>
                <w:b/>
                <w:bCs/>
              </w:rPr>
              <w:t>Insiders on Board</w:t>
            </w: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285"/>
        </w:trPr>
        <w:tc>
          <w:tcPr>
            <w:tcW w:w="2260" w:type="dxa"/>
            <w:gridSpan w:val="2"/>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r w:rsidRPr="00BF618A">
              <w:rPr>
                <w:rFonts w:ascii="Arial" w:eastAsia="Times New Roman" w:hAnsi="Arial" w:cs="Arial"/>
              </w:rPr>
              <w:t>(Cutoff is &gt; 24%)</w:t>
            </w: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p>
        </w:tc>
        <w:tc>
          <w:tcPr>
            <w:tcW w:w="960" w:type="dxa"/>
            <w:tcBorders>
              <w:top w:val="nil"/>
              <w:left w:val="nil"/>
              <w:bottom w:val="single" w:sz="4"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single" w:sz="4"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single" w:sz="4"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single" w:sz="4"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c>
          <w:tcPr>
            <w:tcW w:w="960" w:type="dxa"/>
            <w:tcBorders>
              <w:top w:val="nil"/>
              <w:left w:val="nil"/>
              <w:bottom w:val="single" w:sz="4"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1</w:t>
            </w:r>
          </w:p>
        </w:tc>
        <w:tc>
          <w:tcPr>
            <w:tcW w:w="960" w:type="dxa"/>
            <w:tcBorders>
              <w:top w:val="nil"/>
              <w:left w:val="nil"/>
              <w:bottom w:val="single" w:sz="4"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0</w:t>
            </w:r>
          </w:p>
        </w:tc>
      </w:tr>
      <w:tr w:rsidR="00BF618A" w:rsidRPr="00BF618A" w:rsidTr="00BF618A">
        <w:trPr>
          <w:trHeight w:val="285"/>
        </w:trPr>
        <w:tc>
          <w:tcPr>
            <w:tcW w:w="130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r w:rsidR="00BF618A" w:rsidRPr="00BF618A" w:rsidTr="00BF618A">
        <w:trPr>
          <w:trHeight w:val="315"/>
        </w:trPr>
        <w:tc>
          <w:tcPr>
            <w:tcW w:w="3280" w:type="dxa"/>
            <w:gridSpan w:val="3"/>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b/>
                <w:bCs/>
              </w:rPr>
            </w:pPr>
            <w:r w:rsidRPr="00BF618A">
              <w:rPr>
                <w:rFonts w:ascii="Arial" w:eastAsia="Times New Roman" w:hAnsi="Arial" w:cs="Arial"/>
                <w:b/>
                <w:bCs/>
              </w:rPr>
              <w:t>Weak Corporate Governance</w:t>
            </w:r>
          </w:p>
        </w:tc>
        <w:tc>
          <w:tcPr>
            <w:tcW w:w="960" w:type="dxa"/>
            <w:tcBorders>
              <w:top w:val="nil"/>
              <w:left w:val="nil"/>
              <w:bottom w:val="double" w:sz="6"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8</w:t>
            </w:r>
          </w:p>
        </w:tc>
        <w:tc>
          <w:tcPr>
            <w:tcW w:w="960" w:type="dxa"/>
            <w:tcBorders>
              <w:top w:val="nil"/>
              <w:left w:val="nil"/>
              <w:bottom w:val="double" w:sz="6"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5</w:t>
            </w:r>
          </w:p>
        </w:tc>
        <w:tc>
          <w:tcPr>
            <w:tcW w:w="960" w:type="dxa"/>
            <w:tcBorders>
              <w:top w:val="nil"/>
              <w:left w:val="nil"/>
              <w:bottom w:val="double" w:sz="6"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4</w:t>
            </w:r>
          </w:p>
        </w:tc>
        <w:tc>
          <w:tcPr>
            <w:tcW w:w="960" w:type="dxa"/>
            <w:tcBorders>
              <w:top w:val="nil"/>
              <w:left w:val="nil"/>
              <w:bottom w:val="double" w:sz="6"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5</w:t>
            </w:r>
          </w:p>
        </w:tc>
        <w:tc>
          <w:tcPr>
            <w:tcW w:w="960" w:type="dxa"/>
            <w:tcBorders>
              <w:top w:val="nil"/>
              <w:left w:val="nil"/>
              <w:bottom w:val="double" w:sz="6"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4</w:t>
            </w:r>
          </w:p>
        </w:tc>
        <w:tc>
          <w:tcPr>
            <w:tcW w:w="960" w:type="dxa"/>
            <w:tcBorders>
              <w:top w:val="nil"/>
              <w:left w:val="nil"/>
              <w:bottom w:val="double" w:sz="6"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3</w:t>
            </w:r>
          </w:p>
        </w:tc>
      </w:tr>
      <w:tr w:rsidR="00BF618A" w:rsidRPr="00BF618A" w:rsidTr="00BF618A">
        <w:trPr>
          <w:trHeight w:val="315"/>
        </w:trPr>
        <w:tc>
          <w:tcPr>
            <w:tcW w:w="3280" w:type="dxa"/>
            <w:gridSpan w:val="3"/>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Arial" w:eastAsia="Times New Roman" w:hAnsi="Arial" w:cs="Arial"/>
              </w:rPr>
            </w:pPr>
            <w:r w:rsidRPr="00BF618A">
              <w:rPr>
                <w:rFonts w:ascii="Arial" w:eastAsia="Times New Roman" w:hAnsi="Arial" w:cs="Arial"/>
              </w:rPr>
              <w:t>(Out of 10 Possible Factors)</w:t>
            </w:r>
          </w:p>
        </w:tc>
        <w:tc>
          <w:tcPr>
            <w:tcW w:w="960" w:type="dxa"/>
            <w:tcBorders>
              <w:top w:val="nil"/>
              <w:left w:val="nil"/>
              <w:bottom w:val="double" w:sz="6"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80%</w:t>
            </w:r>
          </w:p>
        </w:tc>
        <w:tc>
          <w:tcPr>
            <w:tcW w:w="960" w:type="dxa"/>
            <w:tcBorders>
              <w:top w:val="nil"/>
              <w:left w:val="nil"/>
              <w:bottom w:val="double" w:sz="6"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50%</w:t>
            </w:r>
          </w:p>
        </w:tc>
        <w:tc>
          <w:tcPr>
            <w:tcW w:w="960" w:type="dxa"/>
            <w:tcBorders>
              <w:top w:val="nil"/>
              <w:left w:val="nil"/>
              <w:bottom w:val="double" w:sz="6"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40%</w:t>
            </w:r>
          </w:p>
        </w:tc>
        <w:tc>
          <w:tcPr>
            <w:tcW w:w="960" w:type="dxa"/>
            <w:tcBorders>
              <w:top w:val="nil"/>
              <w:left w:val="nil"/>
              <w:bottom w:val="double" w:sz="6"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50%</w:t>
            </w:r>
          </w:p>
        </w:tc>
        <w:tc>
          <w:tcPr>
            <w:tcW w:w="960" w:type="dxa"/>
            <w:tcBorders>
              <w:top w:val="nil"/>
              <w:left w:val="nil"/>
              <w:bottom w:val="double" w:sz="6"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40%</w:t>
            </w:r>
          </w:p>
        </w:tc>
        <w:tc>
          <w:tcPr>
            <w:tcW w:w="960" w:type="dxa"/>
            <w:tcBorders>
              <w:top w:val="nil"/>
              <w:left w:val="nil"/>
              <w:bottom w:val="double" w:sz="6" w:space="0" w:color="auto"/>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r w:rsidRPr="00BF618A">
              <w:rPr>
                <w:rFonts w:ascii="Arial" w:eastAsia="Times New Roman" w:hAnsi="Arial" w:cs="Arial"/>
              </w:rPr>
              <w:t>30%</w:t>
            </w:r>
          </w:p>
        </w:tc>
      </w:tr>
      <w:tr w:rsidR="00BF618A" w:rsidRPr="00BF618A" w:rsidTr="00BF618A">
        <w:trPr>
          <w:trHeight w:val="300"/>
        </w:trPr>
        <w:tc>
          <w:tcPr>
            <w:tcW w:w="130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F618A" w:rsidRPr="00BF618A" w:rsidRDefault="00BF618A" w:rsidP="00BF618A">
            <w:pPr>
              <w:spacing w:after="0" w:line="240" w:lineRule="auto"/>
              <w:jc w:val="center"/>
              <w:rPr>
                <w:rFonts w:ascii="Times New Roman" w:eastAsia="Times New Roman" w:hAnsi="Times New Roman" w:cs="Times New Roman"/>
                <w:sz w:val="20"/>
                <w:szCs w:val="20"/>
              </w:rPr>
            </w:pPr>
          </w:p>
        </w:tc>
      </w:tr>
    </w:tbl>
    <w:p w:rsidR="00491EFC" w:rsidRDefault="00491EFC" w:rsidP="001C7F4E">
      <w:pPr>
        <w:ind w:firstLine="720"/>
        <w:rPr>
          <w:rFonts w:ascii="Arial" w:hAnsi="Arial" w:cs="Arial"/>
          <w:sz w:val="24"/>
          <w:szCs w:val="24"/>
        </w:rPr>
      </w:pPr>
    </w:p>
    <w:p w:rsidR="00491EFC" w:rsidRDefault="00491EFC" w:rsidP="001C7F4E">
      <w:pPr>
        <w:ind w:firstLine="720"/>
        <w:rPr>
          <w:rFonts w:ascii="Arial" w:hAnsi="Arial" w:cs="Arial"/>
          <w:sz w:val="24"/>
          <w:szCs w:val="24"/>
        </w:rPr>
      </w:pPr>
    </w:p>
    <w:p w:rsidR="00491EFC" w:rsidRDefault="00491EFC" w:rsidP="001C7F4E">
      <w:pPr>
        <w:ind w:firstLine="720"/>
        <w:rPr>
          <w:rFonts w:ascii="Arial" w:hAnsi="Arial" w:cs="Arial"/>
          <w:sz w:val="24"/>
          <w:szCs w:val="24"/>
        </w:rPr>
      </w:pPr>
    </w:p>
    <w:p w:rsidR="00491EFC" w:rsidRDefault="00491EFC" w:rsidP="001C7F4E">
      <w:pPr>
        <w:ind w:firstLine="720"/>
        <w:rPr>
          <w:rFonts w:ascii="Arial" w:hAnsi="Arial" w:cs="Arial"/>
          <w:sz w:val="24"/>
          <w:szCs w:val="24"/>
        </w:rPr>
      </w:pPr>
    </w:p>
    <w:p w:rsidR="00F104D1" w:rsidRDefault="00F104D1" w:rsidP="001C7F4E">
      <w:pPr>
        <w:ind w:firstLine="720"/>
        <w:rPr>
          <w:rFonts w:ascii="Arial" w:hAnsi="Arial" w:cs="Arial"/>
          <w:sz w:val="24"/>
          <w:szCs w:val="24"/>
        </w:rPr>
      </w:pPr>
    </w:p>
    <w:p w:rsidR="00B121D6" w:rsidRDefault="00B121D6" w:rsidP="001C7F4E">
      <w:pPr>
        <w:ind w:firstLine="720"/>
        <w:rPr>
          <w:rFonts w:ascii="Arial" w:hAnsi="Arial" w:cs="Arial"/>
          <w:sz w:val="24"/>
          <w:szCs w:val="24"/>
        </w:rPr>
      </w:pPr>
    </w:p>
    <w:tbl>
      <w:tblPr>
        <w:tblW w:w="9324" w:type="dxa"/>
        <w:tblLook w:val="04A0" w:firstRow="1" w:lastRow="0" w:firstColumn="1" w:lastColumn="0" w:noHBand="0" w:noVBand="1"/>
      </w:tblPr>
      <w:tblGrid>
        <w:gridCol w:w="1256"/>
        <w:gridCol w:w="960"/>
        <w:gridCol w:w="1035"/>
        <w:gridCol w:w="1158"/>
        <w:gridCol w:w="960"/>
        <w:gridCol w:w="999"/>
        <w:gridCol w:w="960"/>
        <w:gridCol w:w="960"/>
        <w:gridCol w:w="1036"/>
      </w:tblGrid>
      <w:tr w:rsidR="00B7238F" w:rsidRPr="00B7238F" w:rsidTr="00B7238F">
        <w:trPr>
          <w:trHeight w:val="315"/>
        </w:trPr>
        <w:tc>
          <w:tcPr>
            <w:tcW w:w="125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b/>
                <w:bCs/>
              </w:rPr>
            </w:pPr>
            <w:r w:rsidRPr="00B7238F">
              <w:rPr>
                <w:rFonts w:ascii="Arial" w:eastAsia="Times New Roman" w:hAnsi="Arial" w:cs="Arial"/>
                <w:b/>
                <w:bCs/>
              </w:rPr>
              <w:t>Table 2</w:t>
            </w: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r>
      <w:tr w:rsidR="00B7238F" w:rsidRPr="00B7238F" w:rsidTr="00B7238F">
        <w:trPr>
          <w:trHeight w:val="300"/>
        </w:trPr>
        <w:tc>
          <w:tcPr>
            <w:tcW w:w="6368"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proofErr w:type="spellStart"/>
            <w:r w:rsidRPr="00B7238F">
              <w:rPr>
                <w:rFonts w:ascii="Arial" w:eastAsia="Times New Roman" w:hAnsi="Arial" w:cs="Arial"/>
                <w:b/>
                <w:bCs/>
              </w:rPr>
              <w:t>RoboCop</w:t>
            </w:r>
            <w:proofErr w:type="spellEnd"/>
            <w:r w:rsidRPr="00B7238F">
              <w:rPr>
                <w:rFonts w:ascii="Arial" w:eastAsia="Times New Roman" w:hAnsi="Arial" w:cs="Arial"/>
                <w:b/>
                <w:bCs/>
              </w:rPr>
              <w:t xml:space="preserve"> Correlations: 2 Year Market Cap Losses</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Corp</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 xml:space="preserve">  </w:t>
            </w:r>
            <w:proofErr w:type="spellStart"/>
            <w:r w:rsidRPr="00B7238F">
              <w:rPr>
                <w:rFonts w:ascii="Arial" w:eastAsia="Times New Roman" w:hAnsi="Arial" w:cs="Arial"/>
                <w:b/>
                <w:bCs/>
              </w:rPr>
              <w:t>Robo</w:t>
            </w:r>
            <w:proofErr w:type="spellEnd"/>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Market</w:t>
            </w:r>
          </w:p>
        </w:tc>
      </w:tr>
      <w:tr w:rsidR="00B7238F" w:rsidRPr="00B7238F" w:rsidTr="00B7238F">
        <w:trPr>
          <w:trHeight w:val="300"/>
        </w:trPr>
        <w:tc>
          <w:tcPr>
            <w:tcW w:w="125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 xml:space="preserve">Fog </w:t>
            </w: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Debt /</w:t>
            </w: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 xml:space="preserve">Quality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AR /</w:t>
            </w:r>
          </w:p>
        </w:tc>
        <w:tc>
          <w:tcPr>
            <w:tcW w:w="999" w:type="dxa"/>
            <w:tcBorders>
              <w:top w:val="nil"/>
              <w:left w:val="nil"/>
              <w:bottom w:val="nil"/>
              <w:right w:val="single" w:sz="8" w:space="0" w:color="auto"/>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proofErr w:type="spellStart"/>
            <w:r w:rsidRPr="00B7238F">
              <w:rPr>
                <w:rFonts w:ascii="Arial" w:eastAsia="Times New Roman" w:hAnsi="Arial" w:cs="Arial"/>
                <w:b/>
                <w:bCs/>
              </w:rPr>
              <w:t>Intang</w:t>
            </w:r>
            <w:proofErr w:type="spellEnd"/>
            <w:proofErr w:type="gramStart"/>
            <w:r w:rsidRPr="00B7238F">
              <w:rPr>
                <w:rFonts w:ascii="Arial" w:eastAsia="Times New Roman" w:hAnsi="Arial" w:cs="Arial"/>
                <w:b/>
                <w:bCs/>
              </w:rPr>
              <w:t>./</w:t>
            </w:r>
            <w:proofErr w:type="gramEnd"/>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proofErr w:type="spellStart"/>
            <w:r w:rsidRPr="00B7238F">
              <w:rPr>
                <w:rFonts w:ascii="Arial" w:eastAsia="Times New Roman" w:hAnsi="Arial" w:cs="Arial"/>
                <w:b/>
                <w:bCs/>
              </w:rPr>
              <w:t>Gov</w:t>
            </w:r>
            <w:proofErr w:type="spellEnd"/>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 xml:space="preserve">  Cop</w:t>
            </w: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Cap</w:t>
            </w:r>
          </w:p>
        </w:tc>
      </w:tr>
      <w:tr w:rsidR="00B7238F" w:rsidRPr="00B7238F" w:rsidTr="00B7238F">
        <w:trPr>
          <w:trHeight w:val="300"/>
        </w:trPr>
        <w:tc>
          <w:tcPr>
            <w:tcW w:w="125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Index</w:t>
            </w: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EBITDA</w:t>
            </w: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Earnings</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Sales</w:t>
            </w:r>
          </w:p>
        </w:tc>
        <w:tc>
          <w:tcPr>
            <w:tcW w:w="999"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TA</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Score</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 xml:space="preserve">  Score</w:t>
            </w: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proofErr w:type="spellStart"/>
            <w:r w:rsidRPr="00B7238F">
              <w:rPr>
                <w:rFonts w:ascii="Arial" w:eastAsia="Times New Roman" w:hAnsi="Arial" w:cs="Arial"/>
                <w:b/>
                <w:bCs/>
              </w:rPr>
              <w:t>Destruc</w:t>
            </w:r>
            <w:proofErr w:type="spellEnd"/>
          </w:p>
        </w:tc>
      </w:tr>
      <w:tr w:rsidR="00B7238F" w:rsidRPr="00B7238F" w:rsidTr="00B7238F">
        <w:trPr>
          <w:trHeight w:val="300"/>
        </w:trPr>
        <w:tc>
          <w:tcPr>
            <w:tcW w:w="1256"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 xml:space="preserve">Company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X1</w:t>
            </w: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X2</w:t>
            </w: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X3</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X4</w:t>
            </w:r>
          </w:p>
        </w:tc>
        <w:tc>
          <w:tcPr>
            <w:tcW w:w="999"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X5</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X6</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Y</w:t>
            </w: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Billions</w:t>
            </w:r>
          </w:p>
        </w:tc>
      </w:tr>
      <w:tr w:rsidR="00B7238F" w:rsidRPr="00B7238F" w:rsidTr="00B7238F">
        <w:trPr>
          <w:trHeight w:val="300"/>
        </w:trPr>
        <w:tc>
          <w:tcPr>
            <w:tcW w:w="1256"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r>
      <w:tr w:rsidR="00B7238F" w:rsidRPr="00B7238F" w:rsidTr="00B7238F">
        <w:trPr>
          <w:trHeight w:val="285"/>
        </w:trPr>
        <w:tc>
          <w:tcPr>
            <w:tcW w:w="1256"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roofErr w:type="spellStart"/>
            <w:r w:rsidRPr="00B7238F">
              <w:rPr>
                <w:rFonts w:ascii="Arial" w:eastAsia="Times New Roman" w:hAnsi="Arial" w:cs="Arial"/>
              </w:rPr>
              <w:t>Barrick</w:t>
            </w:r>
            <w:proofErr w:type="spellEnd"/>
            <w:r w:rsidRPr="00B7238F">
              <w:rPr>
                <w:rFonts w:ascii="Arial" w:eastAsia="Times New Roman" w:hAnsi="Arial" w:cs="Arial"/>
              </w:rPr>
              <w:t xml:space="preserve">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17.48</w:t>
            </w: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12.3</w:t>
            </w: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-8.03</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0.92</w:t>
            </w:r>
          </w:p>
        </w:tc>
        <w:tc>
          <w:tcPr>
            <w:tcW w:w="999" w:type="dxa"/>
            <w:tcBorders>
              <w:top w:val="nil"/>
              <w:left w:val="nil"/>
              <w:bottom w:val="nil"/>
              <w:right w:val="single" w:sz="8" w:space="0" w:color="auto"/>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0.93</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8</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33.99</w:t>
            </w: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40.6</w:t>
            </w:r>
          </w:p>
        </w:tc>
      </w:tr>
      <w:tr w:rsidR="00B7238F" w:rsidRPr="00B7238F" w:rsidTr="00B7238F">
        <w:trPr>
          <w:trHeight w:val="285"/>
        </w:trPr>
        <w:tc>
          <w:tcPr>
            <w:tcW w:w="1256"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r>
      <w:tr w:rsidR="00B7238F" w:rsidRPr="00B7238F" w:rsidTr="00B7238F">
        <w:trPr>
          <w:trHeight w:val="285"/>
        </w:trPr>
        <w:tc>
          <w:tcPr>
            <w:tcW w:w="1256"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xml:space="preserve">Goldcorp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16.54</w:t>
            </w: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0.3</w:t>
            </w: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1.20</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0.92</w:t>
            </w:r>
          </w:p>
        </w:tc>
        <w:tc>
          <w:tcPr>
            <w:tcW w:w="999"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color w:val="FF0000"/>
              </w:rPr>
            </w:pPr>
            <w:r w:rsidRPr="00B7238F">
              <w:rPr>
                <w:rFonts w:ascii="Arial" w:eastAsia="Times New Roman" w:hAnsi="Arial" w:cs="Arial"/>
                <w:color w:val="FF0000"/>
              </w:rPr>
              <w:t>2.27</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5</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14.68</w:t>
            </w: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26.8</w:t>
            </w:r>
          </w:p>
        </w:tc>
      </w:tr>
      <w:tr w:rsidR="00B7238F" w:rsidRPr="00B7238F" w:rsidTr="00B7238F">
        <w:trPr>
          <w:trHeight w:val="285"/>
        </w:trPr>
        <w:tc>
          <w:tcPr>
            <w:tcW w:w="1256"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r>
      <w:tr w:rsidR="00B7238F" w:rsidRPr="00B7238F" w:rsidTr="00B7238F">
        <w:trPr>
          <w:trHeight w:val="285"/>
        </w:trPr>
        <w:tc>
          <w:tcPr>
            <w:tcW w:w="1256"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xml:space="preserve">Newmont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16.80</w:t>
            </w: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1.4</w:t>
            </w: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1.31</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color w:val="FF0000"/>
              </w:rPr>
            </w:pPr>
            <w:r w:rsidRPr="00B7238F">
              <w:rPr>
                <w:rFonts w:ascii="Arial" w:eastAsia="Times New Roman" w:hAnsi="Arial" w:cs="Arial"/>
                <w:color w:val="FF0000"/>
              </w:rPr>
              <w:t>1.20</w:t>
            </w:r>
          </w:p>
        </w:tc>
        <w:tc>
          <w:tcPr>
            <w:tcW w:w="999" w:type="dxa"/>
            <w:tcBorders>
              <w:top w:val="nil"/>
              <w:left w:val="nil"/>
              <w:bottom w:val="nil"/>
              <w:right w:val="single" w:sz="8" w:space="0" w:color="auto"/>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0.80</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4</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14.11</w:t>
            </w: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21.7</w:t>
            </w:r>
          </w:p>
        </w:tc>
      </w:tr>
      <w:tr w:rsidR="00B7238F" w:rsidRPr="00B7238F" w:rsidTr="00B7238F">
        <w:trPr>
          <w:trHeight w:val="285"/>
        </w:trPr>
        <w:tc>
          <w:tcPr>
            <w:tcW w:w="1256"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r>
      <w:tr w:rsidR="00B7238F" w:rsidRPr="00B7238F" w:rsidTr="00B7238F">
        <w:trPr>
          <w:trHeight w:val="285"/>
        </w:trPr>
        <w:tc>
          <w:tcPr>
            <w:tcW w:w="1256"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xml:space="preserve">Kinross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12.89</w:t>
            </w: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-1.4</w:t>
            </w: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-0.50</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0.61</w:t>
            </w:r>
          </w:p>
        </w:tc>
        <w:tc>
          <w:tcPr>
            <w:tcW w:w="999"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0.38</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5</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11.66</w:t>
            </w: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11.0</w:t>
            </w:r>
          </w:p>
        </w:tc>
      </w:tr>
      <w:tr w:rsidR="00B7238F" w:rsidRPr="00B7238F" w:rsidTr="00B7238F">
        <w:trPr>
          <w:trHeight w:val="285"/>
        </w:trPr>
        <w:tc>
          <w:tcPr>
            <w:tcW w:w="1256"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r>
      <w:tr w:rsidR="00B7238F" w:rsidRPr="00B7238F" w:rsidTr="00B7238F">
        <w:trPr>
          <w:trHeight w:val="285"/>
        </w:trPr>
        <w:tc>
          <w:tcPr>
            <w:tcW w:w="1256"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Eldorado</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16.98</w:t>
            </w: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1.0</w:t>
            </w: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0.93</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color w:val="FF0000"/>
              </w:rPr>
            </w:pPr>
            <w:r w:rsidRPr="00B7238F">
              <w:rPr>
                <w:rFonts w:ascii="Arial" w:eastAsia="Times New Roman" w:hAnsi="Arial" w:cs="Arial"/>
                <w:color w:val="FF0000"/>
              </w:rPr>
              <w:t>1.84</w:t>
            </w:r>
          </w:p>
        </w:tc>
        <w:tc>
          <w:tcPr>
            <w:tcW w:w="999" w:type="dxa"/>
            <w:tcBorders>
              <w:top w:val="nil"/>
              <w:left w:val="nil"/>
              <w:bottom w:val="nil"/>
              <w:right w:val="single" w:sz="8" w:space="0" w:color="auto"/>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color w:val="FF0000"/>
              </w:rPr>
            </w:pPr>
            <w:r w:rsidRPr="00B7238F">
              <w:rPr>
                <w:rFonts w:ascii="Arial" w:eastAsia="Times New Roman" w:hAnsi="Arial" w:cs="Arial"/>
                <w:color w:val="FF0000"/>
              </w:rPr>
              <w:t>1.08</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4</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14.00</w:t>
            </w: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9.3</w:t>
            </w:r>
          </w:p>
        </w:tc>
      </w:tr>
      <w:tr w:rsidR="00B7238F" w:rsidRPr="00B7238F" w:rsidTr="00B7238F">
        <w:trPr>
          <w:trHeight w:val="285"/>
        </w:trPr>
        <w:tc>
          <w:tcPr>
            <w:tcW w:w="1256"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99" w:type="dxa"/>
            <w:tcBorders>
              <w:top w:val="nil"/>
              <w:left w:val="nil"/>
              <w:bottom w:val="nil"/>
              <w:right w:val="single" w:sz="8" w:space="0" w:color="auto"/>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color w:val="FF0000"/>
              </w:rPr>
            </w:pPr>
            <w:r w:rsidRPr="00B7238F">
              <w:rPr>
                <w:rFonts w:ascii="Arial" w:eastAsia="Times New Roman" w:hAnsi="Arial" w:cs="Arial"/>
                <w:color w:val="FF0000"/>
              </w:rPr>
              <w: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color w:val="FF000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r>
      <w:tr w:rsidR="00B7238F" w:rsidRPr="00B7238F" w:rsidTr="00B7238F">
        <w:trPr>
          <w:trHeight w:val="285"/>
        </w:trPr>
        <w:tc>
          <w:tcPr>
            <w:tcW w:w="1256"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IAMGOLD</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14.08</w:t>
            </w: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0.9</w:t>
            </w: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1.19</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color w:val="FF0000"/>
              </w:rPr>
            </w:pPr>
            <w:r w:rsidRPr="00B7238F">
              <w:rPr>
                <w:rFonts w:ascii="Arial" w:eastAsia="Times New Roman" w:hAnsi="Arial" w:cs="Arial"/>
                <w:color w:val="FF0000"/>
              </w:rPr>
              <w:t>1.49</w:t>
            </w:r>
          </w:p>
        </w:tc>
        <w:tc>
          <w:tcPr>
            <w:tcW w:w="999" w:type="dxa"/>
            <w:tcBorders>
              <w:top w:val="nil"/>
              <w:left w:val="nil"/>
              <w:bottom w:val="nil"/>
              <w:right w:val="single" w:sz="8" w:space="0" w:color="auto"/>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0.63</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3</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11.00</w:t>
            </w: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7.2</w:t>
            </w:r>
          </w:p>
        </w:tc>
      </w:tr>
      <w:tr w:rsidR="00B7238F" w:rsidRPr="00B7238F" w:rsidTr="00B7238F">
        <w:trPr>
          <w:trHeight w:val="285"/>
        </w:trPr>
        <w:tc>
          <w:tcPr>
            <w:tcW w:w="3251" w:type="dxa"/>
            <w:gridSpan w:val="3"/>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xml:space="preserve">                                        </w:t>
            </w: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r>
      <w:tr w:rsidR="00B7238F" w:rsidRPr="00B7238F" w:rsidTr="00B7238F">
        <w:trPr>
          <w:trHeight w:val="285"/>
        </w:trPr>
        <w:tc>
          <w:tcPr>
            <w:tcW w:w="2216" w:type="dxa"/>
            <w:gridSpan w:val="2"/>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xml:space="preserve">Pearson Correlation </w:t>
            </w: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r>
      <w:tr w:rsidR="00B7238F" w:rsidRPr="00B7238F" w:rsidTr="00B7238F">
        <w:trPr>
          <w:trHeight w:val="300"/>
        </w:trPr>
        <w:tc>
          <w:tcPr>
            <w:tcW w:w="125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Coefficient</w:t>
            </w:r>
          </w:p>
        </w:tc>
        <w:tc>
          <w:tcPr>
            <w:tcW w:w="960" w:type="dxa"/>
            <w:tcBorders>
              <w:top w:val="nil"/>
              <w:left w:val="nil"/>
              <w:bottom w:val="double" w:sz="6" w:space="0" w:color="auto"/>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0.64</w:t>
            </w:r>
          </w:p>
        </w:tc>
        <w:tc>
          <w:tcPr>
            <w:tcW w:w="1035" w:type="dxa"/>
            <w:tcBorders>
              <w:top w:val="nil"/>
              <w:left w:val="nil"/>
              <w:bottom w:val="double" w:sz="6" w:space="0" w:color="auto"/>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0.81</w:t>
            </w:r>
          </w:p>
        </w:tc>
        <w:tc>
          <w:tcPr>
            <w:tcW w:w="1158" w:type="dxa"/>
            <w:tcBorders>
              <w:top w:val="nil"/>
              <w:left w:val="nil"/>
              <w:bottom w:val="double" w:sz="6" w:space="0" w:color="auto"/>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-0.75</w:t>
            </w:r>
          </w:p>
        </w:tc>
        <w:tc>
          <w:tcPr>
            <w:tcW w:w="960" w:type="dxa"/>
            <w:tcBorders>
              <w:top w:val="nil"/>
              <w:left w:val="nil"/>
              <w:bottom w:val="double" w:sz="6" w:space="0" w:color="auto"/>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-0.45</w:t>
            </w:r>
          </w:p>
        </w:tc>
        <w:tc>
          <w:tcPr>
            <w:tcW w:w="999" w:type="dxa"/>
            <w:tcBorders>
              <w:top w:val="nil"/>
              <w:left w:val="nil"/>
              <w:bottom w:val="double" w:sz="6" w:space="0" w:color="auto"/>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0.38</w:t>
            </w:r>
          </w:p>
        </w:tc>
        <w:tc>
          <w:tcPr>
            <w:tcW w:w="960" w:type="dxa"/>
            <w:tcBorders>
              <w:top w:val="nil"/>
              <w:left w:val="nil"/>
              <w:bottom w:val="double" w:sz="6" w:space="0" w:color="auto"/>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0.86</w:t>
            </w:r>
          </w:p>
        </w:tc>
        <w:tc>
          <w:tcPr>
            <w:tcW w:w="960" w:type="dxa"/>
            <w:tcBorders>
              <w:top w:val="nil"/>
              <w:left w:val="nil"/>
              <w:bottom w:val="double" w:sz="6" w:space="0" w:color="auto"/>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0.87</w:t>
            </w: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p>
        </w:tc>
      </w:tr>
      <w:tr w:rsidR="00B7238F" w:rsidRPr="00B7238F" w:rsidTr="00B7238F">
        <w:trPr>
          <w:trHeight w:val="270"/>
        </w:trPr>
        <w:tc>
          <w:tcPr>
            <w:tcW w:w="125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
        </w:tc>
        <w:tc>
          <w:tcPr>
            <w:tcW w:w="1959" w:type="dxa"/>
            <w:gridSpan w:val="2"/>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
        </w:tc>
      </w:tr>
      <w:tr w:rsidR="00B7238F" w:rsidRPr="00B7238F" w:rsidTr="00B7238F">
        <w:trPr>
          <w:trHeight w:val="285"/>
        </w:trPr>
        <w:tc>
          <w:tcPr>
            <w:tcW w:w="125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 xml:space="preserve"> </w:t>
            </w:r>
            <w:proofErr w:type="spellStart"/>
            <w:r w:rsidRPr="00B7238F">
              <w:rPr>
                <w:rFonts w:ascii="Arial" w:eastAsia="Times New Roman" w:hAnsi="Arial" w:cs="Arial"/>
              </w:rPr>
              <w:t>RoboCop</w:t>
            </w:r>
            <w:proofErr w:type="spellEnd"/>
            <w:r w:rsidRPr="00B7238F">
              <w:rPr>
                <w:rFonts w:ascii="Arial" w:eastAsia="Times New Roman" w:hAnsi="Arial" w:cs="Arial"/>
              </w:rPr>
              <w:t xml:space="preserve">:  </w:t>
            </w:r>
          </w:p>
        </w:tc>
        <w:tc>
          <w:tcPr>
            <w:tcW w:w="6072" w:type="dxa"/>
            <w:gridSpan w:val="6"/>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Y = 0.64X1 + 0.81X2 - 0.75X3 - 0.45X4 + 0.38X5 + 0.86X6</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r>
      <w:tr w:rsidR="00B7238F" w:rsidRPr="00B7238F" w:rsidTr="00B7238F">
        <w:trPr>
          <w:trHeight w:val="255"/>
        </w:trPr>
        <w:tc>
          <w:tcPr>
            <w:tcW w:w="125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r>
      <w:tr w:rsidR="00B7238F" w:rsidRPr="00B7238F" w:rsidTr="00B7238F">
        <w:trPr>
          <w:trHeight w:val="300"/>
        </w:trPr>
        <w:tc>
          <w:tcPr>
            <w:tcW w:w="9324" w:type="dxa"/>
            <w:gridSpan w:val="9"/>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b/>
                <w:bCs/>
              </w:rPr>
            </w:pPr>
            <w:r w:rsidRPr="00B7238F">
              <w:rPr>
                <w:rFonts w:ascii="Arial" w:eastAsia="Times New Roman" w:hAnsi="Arial" w:cs="Arial"/>
                <w:b/>
                <w:bCs/>
              </w:rPr>
              <w:t xml:space="preserve">Note:  </w:t>
            </w:r>
            <w:r w:rsidRPr="00B7238F">
              <w:rPr>
                <w:rFonts w:ascii="Arial" w:eastAsia="Times New Roman" w:hAnsi="Arial" w:cs="Arial"/>
              </w:rPr>
              <w:t xml:space="preserve">Correlations are with each company's market capitalization destruction from the   </w:t>
            </w:r>
          </w:p>
        </w:tc>
      </w:tr>
      <w:tr w:rsidR="00B7238F" w:rsidRPr="00B7238F" w:rsidTr="00B7238F">
        <w:trPr>
          <w:trHeight w:val="285"/>
        </w:trPr>
        <w:tc>
          <w:tcPr>
            <w:tcW w:w="9324" w:type="dxa"/>
            <w:gridSpan w:val="9"/>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r w:rsidRPr="00B7238F">
              <w:rPr>
                <w:rFonts w:ascii="Arial" w:eastAsia="Times New Roman" w:hAnsi="Arial" w:cs="Arial"/>
              </w:rPr>
              <w:t xml:space="preserve">all-time high gold price of $1,921.15 an ounce on September  6, 2011 to $1,211  </w:t>
            </w:r>
          </w:p>
        </w:tc>
      </w:tr>
      <w:tr w:rsidR="00B7238F" w:rsidRPr="00B7238F" w:rsidTr="00B7238F">
        <w:trPr>
          <w:trHeight w:val="285"/>
        </w:trPr>
        <w:tc>
          <w:tcPr>
            <w:tcW w:w="8288" w:type="dxa"/>
            <w:gridSpan w:val="8"/>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xml:space="preserve">           </w:t>
            </w:r>
            <w:proofErr w:type="gramStart"/>
            <w:r w:rsidRPr="00B7238F">
              <w:rPr>
                <w:rFonts w:ascii="Arial" w:eastAsia="Times New Roman" w:hAnsi="Arial" w:cs="Arial"/>
              </w:rPr>
              <w:t>an</w:t>
            </w:r>
            <w:proofErr w:type="gramEnd"/>
            <w:r w:rsidRPr="00B7238F">
              <w:rPr>
                <w:rFonts w:ascii="Arial" w:eastAsia="Times New Roman" w:hAnsi="Arial" w:cs="Arial"/>
              </w:rPr>
              <w:t xml:space="preserve"> ounce on December 24, 2013. The correlation with each company's  </w:t>
            </w: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r>
      <w:tr w:rsidR="00B7238F" w:rsidRPr="00B7238F" w:rsidTr="00B7238F">
        <w:trPr>
          <w:trHeight w:val="285"/>
        </w:trPr>
        <w:tc>
          <w:tcPr>
            <w:tcW w:w="6368" w:type="dxa"/>
            <w:gridSpan w:val="6"/>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roofErr w:type="spellStart"/>
            <w:r w:rsidRPr="00B7238F">
              <w:rPr>
                <w:rFonts w:ascii="Arial" w:eastAsia="Times New Roman" w:hAnsi="Arial" w:cs="Arial"/>
                <w:sz w:val="20"/>
                <w:szCs w:val="20"/>
              </w:rPr>
              <w:t>R</w:t>
            </w:r>
            <w:r w:rsidRPr="00B7238F">
              <w:rPr>
                <w:rFonts w:ascii="Arial" w:eastAsia="Times New Roman" w:hAnsi="Arial" w:cs="Arial"/>
              </w:rPr>
              <w:t>oboCop</w:t>
            </w:r>
            <w:proofErr w:type="spellEnd"/>
            <w:r w:rsidRPr="00B7238F">
              <w:rPr>
                <w:rFonts w:ascii="Arial" w:eastAsia="Times New Roman" w:hAnsi="Arial" w:cs="Arial"/>
              </w:rPr>
              <w:t xml:space="preserve"> score is 0.87, a strong positive correlation.</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r>
      <w:tr w:rsidR="00B7238F" w:rsidRPr="00B7238F" w:rsidTr="00B7238F">
        <w:trPr>
          <w:trHeight w:val="255"/>
        </w:trPr>
        <w:tc>
          <w:tcPr>
            <w:tcW w:w="125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r>
      <w:tr w:rsidR="00656BF1" w:rsidRPr="00656BF1" w:rsidTr="00B7238F">
        <w:trPr>
          <w:trHeight w:val="255"/>
        </w:trPr>
        <w:tc>
          <w:tcPr>
            <w:tcW w:w="1256" w:type="dxa"/>
            <w:tcBorders>
              <w:top w:val="nil"/>
              <w:left w:val="nil"/>
              <w:bottom w:val="nil"/>
              <w:right w:val="nil"/>
            </w:tcBorders>
            <w:shd w:val="clear" w:color="auto" w:fill="auto"/>
            <w:noWrap/>
            <w:vAlign w:val="bottom"/>
          </w:tcPr>
          <w:p w:rsidR="00656BF1" w:rsidRDefault="00656BF1" w:rsidP="00B7238F">
            <w:pPr>
              <w:rPr>
                <w:rFonts w:ascii="Times New Roman" w:eastAsia="Times New Roman" w:hAnsi="Times New Roman" w:cs="Times New Roman"/>
                <w:sz w:val="20"/>
                <w:szCs w:val="20"/>
              </w:rPr>
            </w:pPr>
          </w:p>
          <w:p w:rsidR="00F104D1" w:rsidRPr="00656BF1" w:rsidRDefault="00F104D1" w:rsidP="00B7238F">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Times New Roman" w:eastAsia="Times New Roman" w:hAnsi="Times New Roman" w:cs="Times New Roman"/>
                <w:sz w:val="20"/>
                <w:szCs w:val="20"/>
              </w:rPr>
            </w:pPr>
          </w:p>
        </w:tc>
      </w:tr>
      <w:tr w:rsidR="00656BF1" w:rsidRPr="00656BF1" w:rsidTr="00B7238F">
        <w:trPr>
          <w:trHeight w:val="300"/>
        </w:trPr>
        <w:tc>
          <w:tcPr>
            <w:tcW w:w="9324" w:type="dxa"/>
            <w:gridSpan w:val="9"/>
            <w:tcBorders>
              <w:top w:val="nil"/>
              <w:left w:val="nil"/>
              <w:bottom w:val="nil"/>
              <w:right w:val="nil"/>
            </w:tcBorders>
            <w:shd w:val="clear" w:color="auto" w:fill="auto"/>
            <w:noWrap/>
            <w:vAlign w:val="bottom"/>
          </w:tcPr>
          <w:p w:rsidR="00656BF1" w:rsidRPr="00656BF1" w:rsidRDefault="00656BF1" w:rsidP="00656BF1">
            <w:pPr>
              <w:spacing w:after="0" w:line="240" w:lineRule="auto"/>
              <w:rPr>
                <w:rFonts w:ascii="Arial" w:eastAsia="Times New Roman" w:hAnsi="Arial" w:cs="Arial"/>
                <w:b/>
                <w:bCs/>
              </w:rPr>
            </w:pPr>
          </w:p>
        </w:tc>
      </w:tr>
      <w:tr w:rsidR="00656BF1" w:rsidRPr="00656BF1" w:rsidTr="00B7238F">
        <w:trPr>
          <w:trHeight w:val="285"/>
        </w:trPr>
        <w:tc>
          <w:tcPr>
            <w:tcW w:w="9324" w:type="dxa"/>
            <w:gridSpan w:val="9"/>
            <w:tcBorders>
              <w:top w:val="nil"/>
              <w:left w:val="nil"/>
              <w:bottom w:val="nil"/>
              <w:right w:val="nil"/>
            </w:tcBorders>
            <w:shd w:val="clear" w:color="auto" w:fill="auto"/>
            <w:noWrap/>
            <w:vAlign w:val="bottom"/>
          </w:tcPr>
          <w:p w:rsidR="00656BF1" w:rsidRPr="00656BF1" w:rsidRDefault="00656BF1" w:rsidP="00656BF1">
            <w:pPr>
              <w:spacing w:after="0" w:line="240" w:lineRule="auto"/>
              <w:rPr>
                <w:rFonts w:ascii="Arial" w:eastAsia="Times New Roman" w:hAnsi="Arial" w:cs="Arial"/>
                <w:sz w:val="20"/>
                <w:szCs w:val="20"/>
              </w:rPr>
            </w:pPr>
          </w:p>
        </w:tc>
      </w:tr>
      <w:tr w:rsidR="00656BF1" w:rsidRPr="00656BF1" w:rsidTr="00B7238F">
        <w:trPr>
          <w:trHeight w:val="285"/>
        </w:trPr>
        <w:tc>
          <w:tcPr>
            <w:tcW w:w="8288" w:type="dxa"/>
            <w:gridSpan w:val="8"/>
            <w:tcBorders>
              <w:top w:val="nil"/>
              <w:left w:val="nil"/>
              <w:bottom w:val="nil"/>
              <w:right w:val="nil"/>
            </w:tcBorders>
            <w:shd w:val="clear" w:color="auto" w:fill="auto"/>
            <w:noWrap/>
            <w:vAlign w:val="bottom"/>
          </w:tcPr>
          <w:p w:rsidR="00656BF1" w:rsidRPr="00656BF1" w:rsidRDefault="00656BF1" w:rsidP="00656BF1">
            <w:pPr>
              <w:spacing w:after="0" w:line="240" w:lineRule="auto"/>
              <w:rPr>
                <w:rFonts w:ascii="Arial" w:eastAsia="Times New Roman" w:hAnsi="Arial" w:cs="Arial"/>
              </w:rPr>
            </w:pPr>
          </w:p>
        </w:tc>
        <w:tc>
          <w:tcPr>
            <w:tcW w:w="1036"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Arial" w:eastAsia="Times New Roman" w:hAnsi="Arial" w:cs="Arial"/>
              </w:rPr>
            </w:pPr>
          </w:p>
        </w:tc>
      </w:tr>
      <w:tr w:rsidR="00656BF1" w:rsidRPr="00656BF1" w:rsidTr="00B7238F">
        <w:trPr>
          <w:trHeight w:val="285"/>
        </w:trPr>
        <w:tc>
          <w:tcPr>
            <w:tcW w:w="6368" w:type="dxa"/>
            <w:gridSpan w:val="6"/>
            <w:tcBorders>
              <w:top w:val="nil"/>
              <w:left w:val="nil"/>
              <w:bottom w:val="nil"/>
              <w:right w:val="nil"/>
            </w:tcBorders>
            <w:shd w:val="clear" w:color="auto" w:fill="auto"/>
            <w:noWrap/>
            <w:vAlign w:val="bottom"/>
          </w:tcPr>
          <w:p w:rsidR="00656BF1" w:rsidRPr="00656BF1" w:rsidRDefault="00656BF1" w:rsidP="00656BF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Times New Roman" w:eastAsia="Times New Roman" w:hAnsi="Times New Roman" w:cs="Times New Roman"/>
                <w:sz w:val="20"/>
                <w:szCs w:val="20"/>
              </w:rPr>
            </w:pPr>
          </w:p>
        </w:tc>
      </w:tr>
      <w:tr w:rsidR="00656BF1" w:rsidRPr="00656BF1" w:rsidTr="00B7238F">
        <w:trPr>
          <w:trHeight w:val="255"/>
        </w:trPr>
        <w:tc>
          <w:tcPr>
            <w:tcW w:w="1256"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1035"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1158"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999"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shd w:val="clear" w:color="auto" w:fill="auto"/>
            <w:noWrap/>
            <w:vAlign w:val="bottom"/>
            <w:hideMark/>
          </w:tcPr>
          <w:p w:rsidR="00656BF1" w:rsidRPr="00656BF1" w:rsidRDefault="00656BF1" w:rsidP="00656BF1">
            <w:pPr>
              <w:spacing w:after="0" w:line="240" w:lineRule="auto"/>
              <w:rPr>
                <w:rFonts w:ascii="Times New Roman" w:eastAsia="Times New Roman" w:hAnsi="Times New Roman" w:cs="Times New Roman"/>
                <w:sz w:val="20"/>
                <w:szCs w:val="20"/>
              </w:rPr>
            </w:pPr>
          </w:p>
        </w:tc>
      </w:tr>
    </w:tbl>
    <w:p w:rsidR="0030011B" w:rsidRDefault="0030011B" w:rsidP="00B5628E"/>
    <w:p w:rsidR="00656BF1" w:rsidRDefault="00656BF1" w:rsidP="00B5628E"/>
    <w:p w:rsidR="00656BF1" w:rsidRDefault="00656BF1" w:rsidP="00B5628E"/>
    <w:p w:rsidR="00656BF1" w:rsidRDefault="00656BF1" w:rsidP="00B5628E"/>
    <w:p w:rsidR="00656BF1" w:rsidRDefault="00656BF1" w:rsidP="00B5628E"/>
    <w:tbl>
      <w:tblPr>
        <w:tblW w:w="8832" w:type="dxa"/>
        <w:tblLook w:val="04A0" w:firstRow="1" w:lastRow="0" w:firstColumn="1" w:lastColumn="0" w:noHBand="0" w:noVBand="1"/>
      </w:tblPr>
      <w:tblGrid>
        <w:gridCol w:w="1256"/>
        <w:gridCol w:w="960"/>
        <w:gridCol w:w="1035"/>
        <w:gridCol w:w="1158"/>
        <w:gridCol w:w="960"/>
        <w:gridCol w:w="999"/>
        <w:gridCol w:w="960"/>
        <w:gridCol w:w="960"/>
        <w:gridCol w:w="1036"/>
      </w:tblGrid>
      <w:tr w:rsidR="00B7238F" w:rsidRPr="00B7238F" w:rsidTr="00B7238F">
        <w:trPr>
          <w:trHeight w:val="315"/>
        </w:trPr>
        <w:tc>
          <w:tcPr>
            <w:tcW w:w="114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b/>
                <w:bCs/>
              </w:rPr>
            </w:pPr>
            <w:r w:rsidRPr="00B7238F">
              <w:rPr>
                <w:rFonts w:ascii="Arial" w:eastAsia="Times New Roman" w:hAnsi="Arial" w:cs="Arial"/>
                <w:b/>
                <w:bCs/>
              </w:rPr>
              <w:t>Table 3</w:t>
            </w: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r>
      <w:tr w:rsidR="00B7238F" w:rsidRPr="00B7238F" w:rsidTr="00B7238F">
        <w:trPr>
          <w:trHeight w:val="300"/>
        </w:trPr>
        <w:tc>
          <w:tcPr>
            <w:tcW w:w="5952"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proofErr w:type="spellStart"/>
            <w:r w:rsidRPr="00B7238F">
              <w:rPr>
                <w:rFonts w:ascii="Arial" w:eastAsia="Times New Roman" w:hAnsi="Arial" w:cs="Arial"/>
                <w:b/>
                <w:bCs/>
              </w:rPr>
              <w:t>RoboCop</w:t>
            </w:r>
            <w:proofErr w:type="spellEnd"/>
            <w:r w:rsidRPr="00B7238F">
              <w:rPr>
                <w:rFonts w:ascii="Arial" w:eastAsia="Times New Roman" w:hAnsi="Arial" w:cs="Arial"/>
                <w:b/>
                <w:bCs/>
              </w:rPr>
              <w:t xml:space="preserve"> Correlations: 1 Year Market Cap Losses</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Corp</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 xml:space="preserve">  </w:t>
            </w:r>
            <w:proofErr w:type="spellStart"/>
            <w:r w:rsidRPr="00B7238F">
              <w:rPr>
                <w:rFonts w:ascii="Arial" w:eastAsia="Times New Roman" w:hAnsi="Arial" w:cs="Arial"/>
                <w:b/>
                <w:bCs/>
              </w:rPr>
              <w:t>Robo</w:t>
            </w:r>
            <w:proofErr w:type="spellEnd"/>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Market</w:t>
            </w:r>
          </w:p>
        </w:tc>
      </w:tr>
      <w:tr w:rsidR="00B7238F" w:rsidRPr="00B7238F" w:rsidTr="00B7238F">
        <w:trPr>
          <w:trHeight w:val="300"/>
        </w:trPr>
        <w:tc>
          <w:tcPr>
            <w:tcW w:w="114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 xml:space="preserve">Fog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Debt /</w:t>
            </w: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 xml:space="preserve">Quality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AR /</w:t>
            </w:r>
          </w:p>
        </w:tc>
        <w:tc>
          <w:tcPr>
            <w:tcW w:w="960" w:type="dxa"/>
            <w:tcBorders>
              <w:top w:val="nil"/>
              <w:left w:val="nil"/>
              <w:bottom w:val="nil"/>
              <w:right w:val="single" w:sz="8" w:space="0" w:color="auto"/>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proofErr w:type="spellStart"/>
            <w:r w:rsidRPr="00B7238F">
              <w:rPr>
                <w:rFonts w:ascii="Arial" w:eastAsia="Times New Roman" w:hAnsi="Arial" w:cs="Arial"/>
                <w:b/>
                <w:bCs/>
              </w:rPr>
              <w:t>Intang</w:t>
            </w:r>
            <w:proofErr w:type="spellEnd"/>
            <w:proofErr w:type="gramStart"/>
            <w:r w:rsidRPr="00B7238F">
              <w:rPr>
                <w:rFonts w:ascii="Arial" w:eastAsia="Times New Roman" w:hAnsi="Arial" w:cs="Arial"/>
                <w:b/>
                <w:bCs/>
              </w:rPr>
              <w:t>./</w:t>
            </w:r>
            <w:proofErr w:type="gramEnd"/>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proofErr w:type="spellStart"/>
            <w:r w:rsidRPr="00B7238F">
              <w:rPr>
                <w:rFonts w:ascii="Arial" w:eastAsia="Times New Roman" w:hAnsi="Arial" w:cs="Arial"/>
                <w:b/>
                <w:bCs/>
              </w:rPr>
              <w:t>Gov</w:t>
            </w:r>
            <w:proofErr w:type="spellEnd"/>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 xml:space="preserve">  Cop</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Cap</w:t>
            </w:r>
          </w:p>
        </w:tc>
      </w:tr>
      <w:tr w:rsidR="00B7238F" w:rsidRPr="00B7238F" w:rsidTr="00B7238F">
        <w:trPr>
          <w:trHeight w:val="300"/>
        </w:trPr>
        <w:tc>
          <w:tcPr>
            <w:tcW w:w="114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Index</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EBITDA</w:t>
            </w: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Earnings</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Sales</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TA</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Score</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 xml:space="preserve">  Score</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proofErr w:type="spellStart"/>
            <w:r w:rsidRPr="00B7238F">
              <w:rPr>
                <w:rFonts w:ascii="Arial" w:eastAsia="Times New Roman" w:hAnsi="Arial" w:cs="Arial"/>
                <w:b/>
                <w:bCs/>
              </w:rPr>
              <w:t>Destruc</w:t>
            </w:r>
            <w:proofErr w:type="spellEnd"/>
          </w:p>
        </w:tc>
      </w:tr>
      <w:tr w:rsidR="00B7238F" w:rsidRPr="00B7238F" w:rsidTr="00B7238F">
        <w:trPr>
          <w:trHeight w:val="300"/>
        </w:trPr>
        <w:tc>
          <w:tcPr>
            <w:tcW w:w="1140"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 xml:space="preserve">Company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X1</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X2</w:t>
            </w: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X3</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X4</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X5</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X6</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Y</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Billions</w:t>
            </w:r>
          </w:p>
        </w:tc>
      </w:tr>
      <w:tr w:rsidR="00B7238F" w:rsidRPr="00B7238F" w:rsidTr="00B7238F">
        <w:trPr>
          <w:trHeight w:val="300"/>
        </w:trPr>
        <w:tc>
          <w:tcPr>
            <w:tcW w:w="1140"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r w:rsidRPr="00B7238F">
              <w:rPr>
                <w:rFonts w:ascii="Arial" w:eastAsia="Times New Roman" w:hAnsi="Arial" w:cs="Arial"/>
                <w:b/>
                <w:bCs/>
              </w:rPr>
              <w: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b/>
                <w:bCs/>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r>
      <w:tr w:rsidR="00B7238F" w:rsidRPr="00B7238F" w:rsidTr="00B7238F">
        <w:trPr>
          <w:trHeight w:val="285"/>
        </w:trPr>
        <w:tc>
          <w:tcPr>
            <w:tcW w:w="1140"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roofErr w:type="spellStart"/>
            <w:r w:rsidRPr="00B7238F">
              <w:rPr>
                <w:rFonts w:ascii="Arial" w:eastAsia="Times New Roman" w:hAnsi="Arial" w:cs="Arial"/>
              </w:rPr>
              <w:t>Barrick</w:t>
            </w:r>
            <w:proofErr w:type="spellEnd"/>
            <w:r w:rsidRPr="00B7238F">
              <w:rPr>
                <w:rFonts w:ascii="Arial" w:eastAsia="Times New Roman" w:hAnsi="Arial" w:cs="Arial"/>
              </w:rPr>
              <w:t xml:space="preserve">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17.48</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12.3</w:t>
            </w: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-8.03</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0.92</w:t>
            </w:r>
          </w:p>
        </w:tc>
        <w:tc>
          <w:tcPr>
            <w:tcW w:w="960" w:type="dxa"/>
            <w:tcBorders>
              <w:top w:val="nil"/>
              <w:left w:val="nil"/>
              <w:bottom w:val="nil"/>
              <w:right w:val="single" w:sz="8" w:space="0" w:color="auto"/>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0.93</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8</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33.99</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15.7</w:t>
            </w:r>
          </w:p>
        </w:tc>
      </w:tr>
      <w:tr w:rsidR="00B7238F" w:rsidRPr="00B7238F" w:rsidTr="00B7238F">
        <w:trPr>
          <w:trHeight w:val="285"/>
        </w:trPr>
        <w:tc>
          <w:tcPr>
            <w:tcW w:w="1140"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r>
      <w:tr w:rsidR="00B7238F" w:rsidRPr="00B7238F" w:rsidTr="00B7238F">
        <w:trPr>
          <w:trHeight w:val="285"/>
        </w:trPr>
        <w:tc>
          <w:tcPr>
            <w:tcW w:w="1140"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xml:space="preserve">Goldcorp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16.54</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0.3</w:t>
            </w: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1.20</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0.92</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color w:val="FF0000"/>
              </w:rPr>
            </w:pPr>
            <w:r w:rsidRPr="00B7238F">
              <w:rPr>
                <w:rFonts w:ascii="Arial" w:eastAsia="Times New Roman" w:hAnsi="Arial" w:cs="Arial"/>
                <w:color w:val="FF0000"/>
              </w:rPr>
              <w:t>2.27</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5</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14.68</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7.3</w:t>
            </w:r>
          </w:p>
        </w:tc>
      </w:tr>
      <w:tr w:rsidR="00B7238F" w:rsidRPr="00B7238F" w:rsidTr="00B7238F">
        <w:trPr>
          <w:trHeight w:val="285"/>
        </w:trPr>
        <w:tc>
          <w:tcPr>
            <w:tcW w:w="1140"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r>
      <w:tr w:rsidR="00B7238F" w:rsidRPr="00B7238F" w:rsidTr="00B7238F">
        <w:trPr>
          <w:trHeight w:val="285"/>
        </w:trPr>
        <w:tc>
          <w:tcPr>
            <w:tcW w:w="1140"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xml:space="preserve">Newmont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16.80</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1.4</w:t>
            </w: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1.31</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color w:val="FF0000"/>
              </w:rPr>
            </w:pPr>
            <w:r w:rsidRPr="00B7238F">
              <w:rPr>
                <w:rFonts w:ascii="Arial" w:eastAsia="Times New Roman" w:hAnsi="Arial" w:cs="Arial"/>
                <w:color w:val="FF0000"/>
              </w:rPr>
              <w:t>1.20</w:t>
            </w:r>
          </w:p>
        </w:tc>
        <w:tc>
          <w:tcPr>
            <w:tcW w:w="960" w:type="dxa"/>
            <w:tcBorders>
              <w:top w:val="nil"/>
              <w:left w:val="nil"/>
              <w:bottom w:val="nil"/>
              <w:right w:val="single" w:sz="8" w:space="0" w:color="auto"/>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0.80</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4</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14.11</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11.0</w:t>
            </w:r>
          </w:p>
        </w:tc>
      </w:tr>
      <w:tr w:rsidR="00B7238F" w:rsidRPr="00B7238F" w:rsidTr="00B7238F">
        <w:trPr>
          <w:trHeight w:val="285"/>
        </w:trPr>
        <w:tc>
          <w:tcPr>
            <w:tcW w:w="1140"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r>
      <w:tr w:rsidR="00B7238F" w:rsidRPr="00B7238F" w:rsidTr="00B7238F">
        <w:trPr>
          <w:trHeight w:val="285"/>
        </w:trPr>
        <w:tc>
          <w:tcPr>
            <w:tcW w:w="1140"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xml:space="preserve">Kinross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12.89</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-1.4</w:t>
            </w: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-0.50</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0.61</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0.38</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5</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11.66</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3.9</w:t>
            </w:r>
          </w:p>
        </w:tc>
      </w:tr>
      <w:tr w:rsidR="00B7238F" w:rsidRPr="00B7238F" w:rsidTr="00B7238F">
        <w:trPr>
          <w:trHeight w:val="285"/>
        </w:trPr>
        <w:tc>
          <w:tcPr>
            <w:tcW w:w="1140"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r>
      <w:tr w:rsidR="00B7238F" w:rsidRPr="00B7238F" w:rsidTr="00B7238F">
        <w:trPr>
          <w:trHeight w:val="285"/>
        </w:trPr>
        <w:tc>
          <w:tcPr>
            <w:tcW w:w="1140"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Eldorado</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16.98</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1.0</w:t>
            </w: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0.93</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color w:val="FF0000"/>
              </w:rPr>
            </w:pPr>
            <w:r w:rsidRPr="00B7238F">
              <w:rPr>
                <w:rFonts w:ascii="Arial" w:eastAsia="Times New Roman" w:hAnsi="Arial" w:cs="Arial"/>
                <w:color w:val="FF0000"/>
              </w:rPr>
              <w:t>1.84</w:t>
            </w:r>
          </w:p>
        </w:tc>
        <w:tc>
          <w:tcPr>
            <w:tcW w:w="960" w:type="dxa"/>
            <w:tcBorders>
              <w:top w:val="nil"/>
              <w:left w:val="nil"/>
              <w:bottom w:val="nil"/>
              <w:right w:val="single" w:sz="8" w:space="0" w:color="auto"/>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color w:val="FF0000"/>
              </w:rPr>
            </w:pPr>
            <w:r w:rsidRPr="00B7238F">
              <w:rPr>
                <w:rFonts w:ascii="Arial" w:eastAsia="Times New Roman" w:hAnsi="Arial" w:cs="Arial"/>
                <w:color w:val="FF0000"/>
              </w:rPr>
              <w:t>1.08</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4</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14.00</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10.4</w:t>
            </w:r>
          </w:p>
        </w:tc>
      </w:tr>
      <w:tr w:rsidR="00B7238F" w:rsidRPr="00B7238F" w:rsidTr="00B7238F">
        <w:trPr>
          <w:trHeight w:val="285"/>
        </w:trPr>
        <w:tc>
          <w:tcPr>
            <w:tcW w:w="1140"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single" w:sz="8" w:space="0" w:color="auto"/>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color w:val="FF0000"/>
              </w:rPr>
            </w:pPr>
            <w:r w:rsidRPr="00B7238F">
              <w:rPr>
                <w:rFonts w:ascii="Arial" w:eastAsia="Times New Roman" w:hAnsi="Arial" w:cs="Arial"/>
                <w:color w:val="FF0000"/>
              </w:rPr>
              <w:t>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color w:val="FF000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r>
      <w:tr w:rsidR="00B7238F" w:rsidRPr="00B7238F" w:rsidTr="00B7238F">
        <w:trPr>
          <w:trHeight w:val="285"/>
        </w:trPr>
        <w:tc>
          <w:tcPr>
            <w:tcW w:w="1140" w:type="dxa"/>
            <w:tcBorders>
              <w:top w:val="nil"/>
              <w:left w:val="single" w:sz="8" w:space="0" w:color="auto"/>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IAMGOLD</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14.08</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0.9</w:t>
            </w: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1.19</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color w:val="FF0000"/>
              </w:rPr>
            </w:pPr>
            <w:r w:rsidRPr="00B7238F">
              <w:rPr>
                <w:rFonts w:ascii="Arial" w:eastAsia="Times New Roman" w:hAnsi="Arial" w:cs="Arial"/>
                <w:color w:val="FF0000"/>
              </w:rPr>
              <w:t>1.49</w:t>
            </w:r>
          </w:p>
        </w:tc>
        <w:tc>
          <w:tcPr>
            <w:tcW w:w="960" w:type="dxa"/>
            <w:tcBorders>
              <w:top w:val="nil"/>
              <w:left w:val="nil"/>
              <w:bottom w:val="nil"/>
              <w:right w:val="single" w:sz="8" w:space="0" w:color="auto"/>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0.63</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3</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11.00</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1.6</w:t>
            </w:r>
          </w:p>
        </w:tc>
      </w:tr>
      <w:tr w:rsidR="00B7238F" w:rsidRPr="00B7238F" w:rsidTr="00B7238F">
        <w:trPr>
          <w:trHeight w:val="285"/>
        </w:trPr>
        <w:tc>
          <w:tcPr>
            <w:tcW w:w="3060" w:type="dxa"/>
            <w:gridSpan w:val="3"/>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xml:space="preserve">                                        </w:t>
            </w: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r>
      <w:tr w:rsidR="00B7238F" w:rsidRPr="00B7238F" w:rsidTr="00B7238F">
        <w:trPr>
          <w:trHeight w:val="285"/>
        </w:trPr>
        <w:tc>
          <w:tcPr>
            <w:tcW w:w="2100" w:type="dxa"/>
            <w:gridSpan w:val="2"/>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xml:space="preserve">Pearson Correlation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Times New Roman" w:eastAsia="Times New Roman" w:hAnsi="Times New Roman" w:cs="Times New Roman"/>
                <w:sz w:val="20"/>
                <w:szCs w:val="20"/>
              </w:rPr>
            </w:pPr>
          </w:p>
        </w:tc>
      </w:tr>
      <w:tr w:rsidR="00B7238F" w:rsidRPr="00B7238F" w:rsidTr="00B7238F">
        <w:trPr>
          <w:trHeight w:val="300"/>
        </w:trPr>
        <w:tc>
          <w:tcPr>
            <w:tcW w:w="114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Coefficient</w:t>
            </w:r>
          </w:p>
        </w:tc>
        <w:tc>
          <w:tcPr>
            <w:tcW w:w="960" w:type="dxa"/>
            <w:tcBorders>
              <w:top w:val="nil"/>
              <w:left w:val="nil"/>
              <w:bottom w:val="double" w:sz="6" w:space="0" w:color="auto"/>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0.64</w:t>
            </w:r>
          </w:p>
        </w:tc>
        <w:tc>
          <w:tcPr>
            <w:tcW w:w="960" w:type="dxa"/>
            <w:tcBorders>
              <w:top w:val="nil"/>
              <w:left w:val="nil"/>
              <w:bottom w:val="double" w:sz="6" w:space="0" w:color="auto"/>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0.81</w:t>
            </w:r>
          </w:p>
        </w:tc>
        <w:tc>
          <w:tcPr>
            <w:tcW w:w="972" w:type="dxa"/>
            <w:tcBorders>
              <w:top w:val="nil"/>
              <w:left w:val="nil"/>
              <w:bottom w:val="double" w:sz="6" w:space="0" w:color="auto"/>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-0.75</w:t>
            </w:r>
          </w:p>
        </w:tc>
        <w:tc>
          <w:tcPr>
            <w:tcW w:w="960" w:type="dxa"/>
            <w:tcBorders>
              <w:top w:val="nil"/>
              <w:left w:val="nil"/>
              <w:bottom w:val="double" w:sz="6" w:space="0" w:color="auto"/>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-0.45</w:t>
            </w:r>
          </w:p>
        </w:tc>
        <w:tc>
          <w:tcPr>
            <w:tcW w:w="960" w:type="dxa"/>
            <w:tcBorders>
              <w:top w:val="nil"/>
              <w:left w:val="nil"/>
              <w:bottom w:val="double" w:sz="6" w:space="0" w:color="auto"/>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0.38</w:t>
            </w:r>
          </w:p>
        </w:tc>
        <w:tc>
          <w:tcPr>
            <w:tcW w:w="960" w:type="dxa"/>
            <w:tcBorders>
              <w:top w:val="nil"/>
              <w:left w:val="nil"/>
              <w:bottom w:val="double" w:sz="6" w:space="0" w:color="auto"/>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0.86</w:t>
            </w:r>
          </w:p>
        </w:tc>
        <w:tc>
          <w:tcPr>
            <w:tcW w:w="960" w:type="dxa"/>
            <w:tcBorders>
              <w:top w:val="nil"/>
              <w:left w:val="nil"/>
              <w:bottom w:val="double" w:sz="6" w:space="0" w:color="auto"/>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0.80</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p>
        </w:tc>
      </w:tr>
      <w:tr w:rsidR="00B7238F" w:rsidRPr="00B7238F" w:rsidTr="00B7238F">
        <w:trPr>
          <w:trHeight w:val="270"/>
        </w:trPr>
        <w:tc>
          <w:tcPr>
            <w:tcW w:w="114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
        </w:tc>
        <w:tc>
          <w:tcPr>
            <w:tcW w:w="1920" w:type="dxa"/>
            <w:gridSpan w:val="2"/>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
        </w:tc>
      </w:tr>
      <w:tr w:rsidR="00B7238F" w:rsidRPr="00B7238F" w:rsidTr="00B7238F">
        <w:trPr>
          <w:trHeight w:val="285"/>
        </w:trPr>
        <w:tc>
          <w:tcPr>
            <w:tcW w:w="114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jc w:val="center"/>
              <w:rPr>
                <w:rFonts w:ascii="Arial" w:eastAsia="Times New Roman" w:hAnsi="Arial" w:cs="Arial"/>
              </w:rPr>
            </w:pPr>
            <w:r w:rsidRPr="00B7238F">
              <w:rPr>
                <w:rFonts w:ascii="Arial" w:eastAsia="Times New Roman" w:hAnsi="Arial" w:cs="Arial"/>
              </w:rPr>
              <w:t xml:space="preserve"> </w:t>
            </w:r>
            <w:proofErr w:type="spellStart"/>
            <w:r w:rsidRPr="00B7238F">
              <w:rPr>
                <w:rFonts w:ascii="Arial" w:eastAsia="Times New Roman" w:hAnsi="Arial" w:cs="Arial"/>
              </w:rPr>
              <w:t>RoboCop</w:t>
            </w:r>
            <w:proofErr w:type="spellEnd"/>
            <w:r w:rsidRPr="00B7238F">
              <w:rPr>
                <w:rFonts w:ascii="Arial" w:eastAsia="Times New Roman" w:hAnsi="Arial" w:cs="Arial"/>
              </w:rPr>
              <w:t xml:space="preserve">:  </w:t>
            </w:r>
          </w:p>
        </w:tc>
        <w:tc>
          <w:tcPr>
            <w:tcW w:w="5772" w:type="dxa"/>
            <w:gridSpan w:val="6"/>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Y = 0.64X1 + 0.81X2 - 0.75X3 - 0.45X4 + 0.38X5 + 0.86X6</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r>
      <w:tr w:rsidR="00B7238F" w:rsidRPr="00B7238F" w:rsidTr="00B7238F">
        <w:trPr>
          <w:trHeight w:val="255"/>
        </w:trPr>
        <w:tc>
          <w:tcPr>
            <w:tcW w:w="114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r>
      <w:tr w:rsidR="00B7238F" w:rsidRPr="00B7238F" w:rsidTr="00B7238F">
        <w:trPr>
          <w:trHeight w:val="300"/>
        </w:trPr>
        <w:tc>
          <w:tcPr>
            <w:tcW w:w="8832" w:type="dxa"/>
            <w:gridSpan w:val="9"/>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b/>
                <w:bCs/>
              </w:rPr>
            </w:pPr>
            <w:r w:rsidRPr="00B7238F">
              <w:rPr>
                <w:rFonts w:ascii="Arial" w:eastAsia="Times New Roman" w:hAnsi="Arial" w:cs="Arial"/>
                <w:b/>
                <w:bCs/>
              </w:rPr>
              <w:t xml:space="preserve">Note:  </w:t>
            </w:r>
            <w:r w:rsidRPr="00B7238F">
              <w:rPr>
                <w:rFonts w:ascii="Arial" w:eastAsia="Times New Roman" w:hAnsi="Arial" w:cs="Arial"/>
              </w:rPr>
              <w:t xml:space="preserve">Correlations are with each company's market capitalization destruction from the   </w:t>
            </w:r>
          </w:p>
        </w:tc>
      </w:tr>
      <w:tr w:rsidR="00B7238F" w:rsidRPr="00B7238F" w:rsidTr="00B7238F">
        <w:trPr>
          <w:trHeight w:val="285"/>
        </w:trPr>
        <w:tc>
          <w:tcPr>
            <w:tcW w:w="7872" w:type="dxa"/>
            <w:gridSpan w:val="8"/>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r w:rsidRPr="00B7238F">
              <w:rPr>
                <w:rFonts w:ascii="Arial" w:eastAsia="Times New Roman" w:hAnsi="Arial" w:cs="Arial"/>
              </w:rPr>
              <w:t xml:space="preserve">gold price of $1,668.58 an ounce on January 4, 2012 to $1,244.41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p>
        </w:tc>
      </w:tr>
      <w:tr w:rsidR="00B7238F" w:rsidRPr="00B7238F" w:rsidTr="00B7238F">
        <w:trPr>
          <w:trHeight w:val="285"/>
        </w:trPr>
        <w:tc>
          <w:tcPr>
            <w:tcW w:w="7872" w:type="dxa"/>
            <w:gridSpan w:val="8"/>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r w:rsidRPr="00B7238F">
              <w:rPr>
                <w:rFonts w:ascii="Arial" w:eastAsia="Times New Roman" w:hAnsi="Arial" w:cs="Arial"/>
              </w:rPr>
              <w:t xml:space="preserve">           </w:t>
            </w:r>
            <w:proofErr w:type="gramStart"/>
            <w:r w:rsidRPr="00B7238F">
              <w:rPr>
                <w:rFonts w:ascii="Arial" w:eastAsia="Times New Roman" w:hAnsi="Arial" w:cs="Arial"/>
              </w:rPr>
              <w:t>an</w:t>
            </w:r>
            <w:proofErr w:type="gramEnd"/>
            <w:r w:rsidRPr="00B7238F">
              <w:rPr>
                <w:rFonts w:ascii="Arial" w:eastAsia="Times New Roman" w:hAnsi="Arial" w:cs="Arial"/>
              </w:rPr>
              <w:t xml:space="preserve"> ounce on January 31, 2014. The correlation with each company's  </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rPr>
            </w:pPr>
          </w:p>
        </w:tc>
      </w:tr>
      <w:tr w:rsidR="00B7238F" w:rsidRPr="00B7238F" w:rsidTr="00B7238F">
        <w:trPr>
          <w:trHeight w:val="285"/>
        </w:trPr>
        <w:tc>
          <w:tcPr>
            <w:tcW w:w="5952" w:type="dxa"/>
            <w:gridSpan w:val="6"/>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r w:rsidRPr="00B7238F">
              <w:rPr>
                <w:rFonts w:ascii="Arial" w:eastAsia="Times New Roman" w:hAnsi="Arial" w:cs="Arial"/>
                <w:sz w:val="20"/>
                <w:szCs w:val="20"/>
              </w:rPr>
              <w:t xml:space="preserve">            </w:t>
            </w:r>
            <w:proofErr w:type="spellStart"/>
            <w:r w:rsidRPr="00B7238F">
              <w:rPr>
                <w:rFonts w:ascii="Arial" w:eastAsia="Times New Roman" w:hAnsi="Arial" w:cs="Arial"/>
                <w:sz w:val="20"/>
                <w:szCs w:val="20"/>
              </w:rPr>
              <w:t>R</w:t>
            </w:r>
            <w:r w:rsidRPr="00B7238F">
              <w:rPr>
                <w:rFonts w:ascii="Arial" w:eastAsia="Times New Roman" w:hAnsi="Arial" w:cs="Arial"/>
              </w:rPr>
              <w:t>oboCop</w:t>
            </w:r>
            <w:proofErr w:type="spellEnd"/>
            <w:r w:rsidRPr="00B7238F">
              <w:rPr>
                <w:rFonts w:ascii="Arial" w:eastAsia="Times New Roman" w:hAnsi="Arial" w:cs="Arial"/>
              </w:rPr>
              <w:t xml:space="preserve"> score is 0.80, a strong positive correlation.</w:t>
            </w: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r>
      <w:tr w:rsidR="00B7238F" w:rsidRPr="00B7238F" w:rsidTr="00B7238F">
        <w:trPr>
          <w:trHeight w:val="255"/>
        </w:trPr>
        <w:tc>
          <w:tcPr>
            <w:tcW w:w="114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B7238F" w:rsidRPr="00B7238F" w:rsidRDefault="00B7238F" w:rsidP="00B7238F">
            <w:pPr>
              <w:spacing w:after="0" w:line="240" w:lineRule="auto"/>
              <w:rPr>
                <w:rFonts w:ascii="Times New Roman" w:eastAsia="Times New Roman" w:hAnsi="Times New Roman" w:cs="Times New Roman"/>
                <w:sz w:val="20"/>
                <w:szCs w:val="20"/>
              </w:rPr>
            </w:pPr>
          </w:p>
        </w:tc>
      </w:tr>
    </w:tbl>
    <w:p w:rsidR="00656BF1" w:rsidRDefault="00656BF1" w:rsidP="00B5628E"/>
    <w:p w:rsidR="0030011B" w:rsidRDefault="0030011B" w:rsidP="00841B21">
      <w:pPr>
        <w:jc w:val="center"/>
        <w:rPr>
          <w:rFonts w:ascii="Arial" w:hAnsi="Arial" w:cs="Arial"/>
          <w:sz w:val="24"/>
          <w:szCs w:val="24"/>
        </w:rPr>
      </w:pPr>
    </w:p>
    <w:p w:rsidR="007D1501" w:rsidRDefault="007D1501" w:rsidP="00841B21">
      <w:pPr>
        <w:jc w:val="center"/>
        <w:rPr>
          <w:rFonts w:ascii="Arial" w:hAnsi="Arial" w:cs="Arial"/>
          <w:sz w:val="24"/>
          <w:szCs w:val="24"/>
        </w:rPr>
      </w:pPr>
    </w:p>
    <w:p w:rsidR="007D1501" w:rsidRDefault="007D1501" w:rsidP="00841B21">
      <w:pPr>
        <w:jc w:val="center"/>
        <w:rPr>
          <w:rFonts w:ascii="Arial" w:hAnsi="Arial" w:cs="Arial"/>
          <w:sz w:val="24"/>
          <w:szCs w:val="24"/>
        </w:rPr>
      </w:pPr>
    </w:p>
    <w:p w:rsidR="007D1501" w:rsidRDefault="007D1501" w:rsidP="00841B21">
      <w:pPr>
        <w:jc w:val="center"/>
        <w:rPr>
          <w:rFonts w:ascii="Arial" w:hAnsi="Arial" w:cs="Arial"/>
          <w:sz w:val="24"/>
          <w:szCs w:val="24"/>
        </w:rPr>
      </w:pPr>
    </w:p>
    <w:p w:rsidR="007D1501" w:rsidRPr="00841B21" w:rsidRDefault="007D1501" w:rsidP="00841B21">
      <w:pPr>
        <w:jc w:val="center"/>
        <w:rPr>
          <w:rFonts w:ascii="Arial" w:hAnsi="Arial" w:cs="Arial"/>
          <w:sz w:val="24"/>
          <w:szCs w:val="24"/>
        </w:rPr>
      </w:pPr>
    </w:p>
    <w:p w:rsidR="005F58E4" w:rsidRDefault="005F58E4" w:rsidP="00841B21">
      <w:pPr>
        <w:jc w:val="center"/>
        <w:rPr>
          <w:rFonts w:ascii="Arial" w:hAnsi="Arial" w:cs="Arial"/>
          <w:b/>
          <w:sz w:val="24"/>
          <w:szCs w:val="24"/>
        </w:rPr>
      </w:pPr>
    </w:p>
    <w:p w:rsidR="0030011B" w:rsidRDefault="00841B21" w:rsidP="00841B21">
      <w:pPr>
        <w:jc w:val="center"/>
        <w:rPr>
          <w:rFonts w:ascii="Arial" w:hAnsi="Arial" w:cs="Arial"/>
          <w:b/>
          <w:sz w:val="24"/>
          <w:szCs w:val="24"/>
        </w:rPr>
      </w:pPr>
      <w:bookmarkStart w:id="0" w:name="_GoBack"/>
      <w:bookmarkEnd w:id="0"/>
      <w:r w:rsidRPr="00841B21">
        <w:rPr>
          <w:rFonts w:ascii="Arial" w:hAnsi="Arial" w:cs="Arial"/>
          <w:b/>
          <w:sz w:val="24"/>
          <w:szCs w:val="24"/>
        </w:rPr>
        <w:lastRenderedPageBreak/>
        <w:t>References</w:t>
      </w:r>
    </w:p>
    <w:p w:rsidR="001C7D5E" w:rsidRDefault="001C7D5E" w:rsidP="001C7D5E">
      <w:pPr>
        <w:rPr>
          <w:rFonts w:ascii="Arial" w:hAnsi="Arial" w:cs="Arial"/>
          <w:b/>
          <w:sz w:val="24"/>
          <w:szCs w:val="24"/>
        </w:rPr>
      </w:pPr>
    </w:p>
    <w:p w:rsidR="001C7D5E" w:rsidRPr="001C7D5E" w:rsidRDefault="001C7D5E" w:rsidP="001C7D5E">
      <w:pPr>
        <w:rPr>
          <w:rFonts w:ascii="Arial" w:hAnsi="Arial" w:cs="Arial"/>
          <w:sz w:val="24"/>
          <w:szCs w:val="24"/>
        </w:rPr>
      </w:pPr>
      <w:proofErr w:type="spellStart"/>
      <w:r w:rsidRPr="001C7D5E">
        <w:rPr>
          <w:rFonts w:ascii="Arial" w:hAnsi="Arial" w:cs="Arial"/>
          <w:sz w:val="24"/>
          <w:szCs w:val="24"/>
        </w:rPr>
        <w:t>Allemand</w:t>
      </w:r>
      <w:proofErr w:type="spellEnd"/>
      <w:r w:rsidRPr="001C7D5E">
        <w:rPr>
          <w:rFonts w:ascii="Arial" w:hAnsi="Arial" w:cs="Arial"/>
          <w:sz w:val="24"/>
          <w:szCs w:val="24"/>
        </w:rPr>
        <w:t xml:space="preserve">, I., H. Grove, L. Victoravich, </w:t>
      </w:r>
      <w:r>
        <w:rPr>
          <w:rFonts w:ascii="Arial" w:hAnsi="Arial" w:cs="Arial"/>
          <w:sz w:val="24"/>
          <w:szCs w:val="24"/>
        </w:rPr>
        <w:t>a</w:t>
      </w:r>
      <w:r w:rsidRPr="001C7D5E">
        <w:rPr>
          <w:rFonts w:ascii="Arial" w:hAnsi="Arial" w:cs="Arial"/>
          <w:sz w:val="24"/>
          <w:szCs w:val="24"/>
        </w:rPr>
        <w:t>nd</w:t>
      </w:r>
      <w:r>
        <w:rPr>
          <w:rFonts w:ascii="Arial" w:hAnsi="Arial" w:cs="Arial"/>
          <w:sz w:val="24"/>
          <w:szCs w:val="24"/>
        </w:rPr>
        <w:t xml:space="preserve"> </w:t>
      </w:r>
      <w:r w:rsidRPr="001C7D5E">
        <w:rPr>
          <w:rFonts w:ascii="Arial" w:hAnsi="Arial" w:cs="Arial"/>
          <w:sz w:val="24"/>
          <w:szCs w:val="24"/>
        </w:rPr>
        <w:t>P. Xu</w:t>
      </w:r>
      <w:r w:rsidR="00F104D1">
        <w:rPr>
          <w:rFonts w:ascii="Arial" w:hAnsi="Arial" w:cs="Arial"/>
          <w:sz w:val="24"/>
          <w:szCs w:val="24"/>
        </w:rPr>
        <w:t>. (2013).</w:t>
      </w:r>
      <w:r>
        <w:rPr>
          <w:rFonts w:ascii="Arial" w:hAnsi="Arial" w:cs="Arial"/>
          <w:sz w:val="24"/>
          <w:szCs w:val="24"/>
        </w:rPr>
        <w:t xml:space="preserve"> Board Characteristics and Risk-Taking in Banks: a U.S./European Comparison</w:t>
      </w:r>
      <w:r w:rsidR="00F104D1">
        <w:rPr>
          <w:rFonts w:ascii="Arial" w:hAnsi="Arial" w:cs="Arial"/>
          <w:sz w:val="24"/>
          <w:szCs w:val="24"/>
        </w:rPr>
        <w:t>.</w:t>
      </w:r>
      <w:r w:rsidRPr="001C7D5E">
        <w:rPr>
          <w:rFonts w:ascii="Arial" w:hAnsi="Arial" w:cs="Arial"/>
          <w:sz w:val="24"/>
          <w:szCs w:val="24"/>
        </w:rPr>
        <w:t xml:space="preserve"> </w:t>
      </w:r>
      <w:r w:rsidRPr="001C7D5E">
        <w:rPr>
          <w:rFonts w:ascii="Arial" w:hAnsi="Arial" w:cs="Arial"/>
          <w:i/>
          <w:sz w:val="24"/>
          <w:szCs w:val="24"/>
        </w:rPr>
        <w:t>International Academic Research Journal of Business and Management</w:t>
      </w:r>
      <w:r w:rsidRPr="001C7D5E">
        <w:rPr>
          <w:rFonts w:ascii="Arial" w:hAnsi="Arial" w:cs="Arial"/>
          <w:sz w:val="24"/>
          <w:szCs w:val="24"/>
        </w:rPr>
        <w:t>, Ja</w:t>
      </w:r>
      <w:r>
        <w:rPr>
          <w:rFonts w:ascii="Arial" w:hAnsi="Arial" w:cs="Arial"/>
          <w:sz w:val="24"/>
          <w:szCs w:val="24"/>
        </w:rPr>
        <w:t>n</w:t>
      </w:r>
      <w:r w:rsidRPr="001C7D5E">
        <w:rPr>
          <w:rFonts w:ascii="Arial" w:hAnsi="Arial" w:cs="Arial"/>
          <w:sz w:val="24"/>
          <w:szCs w:val="24"/>
        </w:rPr>
        <w:t>uary, Vol. 1, Issue 7, pp. 44-62.</w:t>
      </w:r>
    </w:p>
    <w:p w:rsidR="005F58E4" w:rsidRDefault="005F58E4" w:rsidP="005F58E4">
      <w:pPr>
        <w:spacing w:line="240" w:lineRule="auto"/>
        <w:rPr>
          <w:rFonts w:ascii="Arial" w:hAnsi="Arial" w:cs="Arial"/>
          <w:sz w:val="24"/>
          <w:szCs w:val="24"/>
        </w:rPr>
      </w:pPr>
      <w:r w:rsidRPr="002A1498">
        <w:rPr>
          <w:rFonts w:ascii="Arial" w:hAnsi="Arial" w:cs="Arial"/>
          <w:sz w:val="24"/>
          <w:szCs w:val="24"/>
        </w:rPr>
        <w:t>Barr, A.</w:t>
      </w:r>
      <w:r w:rsidR="00F104D1">
        <w:rPr>
          <w:rFonts w:ascii="Arial" w:hAnsi="Arial" w:cs="Arial"/>
          <w:sz w:val="24"/>
          <w:szCs w:val="24"/>
        </w:rPr>
        <w:t xml:space="preserve"> (2008).</w:t>
      </w:r>
      <w:r w:rsidRPr="002A1498">
        <w:rPr>
          <w:rFonts w:ascii="Arial" w:hAnsi="Arial" w:cs="Arial"/>
          <w:sz w:val="24"/>
          <w:szCs w:val="24"/>
        </w:rPr>
        <w:t xml:space="preserve"> Corporate Governance Takes Back Seat in Bailouts</w:t>
      </w:r>
      <w:r w:rsidR="00F104D1">
        <w:rPr>
          <w:rFonts w:ascii="Arial" w:hAnsi="Arial" w:cs="Arial"/>
          <w:sz w:val="24"/>
          <w:szCs w:val="24"/>
        </w:rPr>
        <w:t>.</w:t>
      </w:r>
      <w:r w:rsidRPr="002A1498">
        <w:rPr>
          <w:rFonts w:ascii="Arial" w:hAnsi="Arial" w:cs="Arial"/>
          <w:sz w:val="24"/>
          <w:szCs w:val="24"/>
        </w:rPr>
        <w:t xml:space="preserve"> </w:t>
      </w:r>
      <w:proofErr w:type="spellStart"/>
      <w:r w:rsidRPr="002A1498">
        <w:rPr>
          <w:rFonts w:ascii="Arial" w:hAnsi="Arial" w:cs="Arial"/>
          <w:i/>
          <w:sz w:val="24"/>
          <w:szCs w:val="24"/>
        </w:rPr>
        <w:t>MarketWatch</w:t>
      </w:r>
      <w:proofErr w:type="spellEnd"/>
      <w:r w:rsidRPr="002A1498">
        <w:rPr>
          <w:rFonts w:ascii="Arial" w:hAnsi="Arial" w:cs="Arial"/>
          <w:sz w:val="24"/>
          <w:szCs w:val="24"/>
        </w:rPr>
        <w:t>, October</w:t>
      </w:r>
      <w:r w:rsidR="00F104D1">
        <w:rPr>
          <w:rFonts w:ascii="Arial" w:hAnsi="Arial" w:cs="Arial"/>
          <w:sz w:val="24"/>
          <w:szCs w:val="24"/>
        </w:rPr>
        <w:t xml:space="preserve"> 17.</w:t>
      </w:r>
    </w:p>
    <w:p w:rsidR="00073F4A" w:rsidRPr="002A1498" w:rsidRDefault="00073F4A" w:rsidP="005F58E4">
      <w:pPr>
        <w:spacing w:line="240" w:lineRule="auto"/>
        <w:rPr>
          <w:rFonts w:ascii="Arial" w:hAnsi="Arial" w:cs="Arial"/>
          <w:sz w:val="24"/>
          <w:szCs w:val="24"/>
        </w:rPr>
      </w:pPr>
      <w:proofErr w:type="spellStart"/>
      <w:r>
        <w:rPr>
          <w:rFonts w:ascii="Arial" w:hAnsi="Arial" w:cs="Arial"/>
          <w:sz w:val="24"/>
          <w:szCs w:val="24"/>
        </w:rPr>
        <w:t>Basilico</w:t>
      </w:r>
      <w:proofErr w:type="spellEnd"/>
      <w:r>
        <w:rPr>
          <w:rFonts w:ascii="Arial" w:hAnsi="Arial" w:cs="Arial"/>
          <w:sz w:val="24"/>
          <w:szCs w:val="24"/>
        </w:rPr>
        <w:t xml:space="preserve">, E., Grove, H. and Patelli, L. (2012). Asia’s Enron: Satyam (Sanskrit Word for Truth). </w:t>
      </w:r>
      <w:r w:rsidRPr="004D5EC3">
        <w:rPr>
          <w:rFonts w:ascii="Arial" w:hAnsi="Arial" w:cs="Arial"/>
          <w:i/>
          <w:sz w:val="24"/>
          <w:szCs w:val="24"/>
        </w:rPr>
        <w:t>Journal of Forensic and Investigative Accounting,</w:t>
      </w:r>
      <w:r>
        <w:rPr>
          <w:rFonts w:ascii="Arial" w:hAnsi="Arial" w:cs="Arial"/>
          <w:sz w:val="24"/>
          <w:szCs w:val="24"/>
        </w:rPr>
        <w:t xml:space="preserve"> July-Decemb</w:t>
      </w:r>
      <w:r w:rsidR="004D5EC3">
        <w:rPr>
          <w:rFonts w:ascii="Arial" w:hAnsi="Arial" w:cs="Arial"/>
          <w:sz w:val="24"/>
          <w:szCs w:val="24"/>
        </w:rPr>
        <w:t>er, Vol. 4, No. 2, pp. 142-155.</w:t>
      </w:r>
    </w:p>
    <w:p w:rsidR="00F45280" w:rsidRDefault="00F45280" w:rsidP="00F45280">
      <w:pPr>
        <w:spacing w:line="240" w:lineRule="auto"/>
        <w:ind w:left="450" w:hanging="450"/>
        <w:jc w:val="both"/>
        <w:rPr>
          <w:rFonts w:ascii="Arial" w:hAnsi="Arial" w:cs="Arial"/>
          <w:sz w:val="24"/>
          <w:szCs w:val="24"/>
        </w:rPr>
      </w:pPr>
      <w:proofErr w:type="spellStart"/>
      <w:r w:rsidRPr="00F45280">
        <w:rPr>
          <w:rFonts w:ascii="Arial" w:hAnsi="Arial" w:cs="Arial"/>
          <w:sz w:val="24"/>
          <w:szCs w:val="24"/>
        </w:rPr>
        <w:t>Bennedsen</w:t>
      </w:r>
      <w:proofErr w:type="spellEnd"/>
      <w:r w:rsidRPr="00F45280">
        <w:rPr>
          <w:rFonts w:ascii="Arial" w:hAnsi="Arial" w:cs="Arial"/>
          <w:sz w:val="24"/>
          <w:szCs w:val="24"/>
        </w:rPr>
        <w:t xml:space="preserve">, M., </w:t>
      </w:r>
      <w:proofErr w:type="spellStart"/>
      <w:r w:rsidRPr="00F45280">
        <w:rPr>
          <w:rFonts w:ascii="Arial" w:hAnsi="Arial" w:cs="Arial"/>
          <w:sz w:val="24"/>
          <w:szCs w:val="24"/>
        </w:rPr>
        <w:t>Kongsted</w:t>
      </w:r>
      <w:proofErr w:type="spellEnd"/>
      <w:r w:rsidRPr="00F45280">
        <w:rPr>
          <w:rFonts w:ascii="Arial" w:hAnsi="Arial" w:cs="Arial"/>
          <w:sz w:val="24"/>
          <w:szCs w:val="24"/>
        </w:rPr>
        <w:t xml:space="preserve">, H. C., &amp; Nielson, K. M. (2008). </w:t>
      </w:r>
      <w:r w:rsidR="005F58E4">
        <w:rPr>
          <w:rFonts w:ascii="Arial" w:hAnsi="Arial" w:cs="Arial"/>
          <w:sz w:val="24"/>
          <w:szCs w:val="24"/>
        </w:rPr>
        <w:t xml:space="preserve">The </w:t>
      </w:r>
      <w:r w:rsidR="00310572">
        <w:rPr>
          <w:rFonts w:ascii="Arial" w:hAnsi="Arial" w:cs="Arial"/>
          <w:sz w:val="24"/>
          <w:szCs w:val="24"/>
        </w:rPr>
        <w:t>C</w:t>
      </w:r>
      <w:r w:rsidR="005F58E4">
        <w:rPr>
          <w:rFonts w:ascii="Arial" w:hAnsi="Arial" w:cs="Arial"/>
          <w:sz w:val="24"/>
          <w:szCs w:val="24"/>
        </w:rPr>
        <w:t xml:space="preserve">ausal </w:t>
      </w:r>
      <w:r w:rsidR="00310572">
        <w:rPr>
          <w:rFonts w:ascii="Arial" w:hAnsi="Arial" w:cs="Arial"/>
          <w:sz w:val="24"/>
          <w:szCs w:val="24"/>
        </w:rPr>
        <w:t>E</w:t>
      </w:r>
      <w:r w:rsidR="005F58E4">
        <w:rPr>
          <w:rFonts w:ascii="Arial" w:hAnsi="Arial" w:cs="Arial"/>
          <w:sz w:val="24"/>
          <w:szCs w:val="24"/>
        </w:rPr>
        <w:t xml:space="preserve">ffect of </w:t>
      </w:r>
      <w:r w:rsidR="00310572">
        <w:rPr>
          <w:rFonts w:ascii="Arial" w:hAnsi="Arial" w:cs="Arial"/>
          <w:sz w:val="24"/>
          <w:szCs w:val="24"/>
        </w:rPr>
        <w:t>B</w:t>
      </w:r>
      <w:r w:rsidR="005F58E4">
        <w:rPr>
          <w:rFonts w:ascii="Arial" w:hAnsi="Arial" w:cs="Arial"/>
          <w:sz w:val="24"/>
          <w:szCs w:val="24"/>
        </w:rPr>
        <w:t xml:space="preserve">oard </w:t>
      </w:r>
      <w:r w:rsidR="00310572">
        <w:rPr>
          <w:rFonts w:ascii="Arial" w:hAnsi="Arial" w:cs="Arial"/>
          <w:sz w:val="24"/>
          <w:szCs w:val="24"/>
        </w:rPr>
        <w:t>S</w:t>
      </w:r>
      <w:r w:rsidR="005F58E4">
        <w:rPr>
          <w:rFonts w:ascii="Arial" w:hAnsi="Arial" w:cs="Arial"/>
          <w:sz w:val="24"/>
          <w:szCs w:val="24"/>
        </w:rPr>
        <w:t xml:space="preserve">ize </w:t>
      </w:r>
      <w:r w:rsidRPr="00F45280">
        <w:rPr>
          <w:rFonts w:ascii="Arial" w:hAnsi="Arial" w:cs="Arial"/>
          <w:sz w:val="24"/>
          <w:szCs w:val="24"/>
        </w:rPr>
        <w:t xml:space="preserve">and the </w:t>
      </w:r>
      <w:r w:rsidR="00310572">
        <w:rPr>
          <w:rFonts w:ascii="Arial" w:hAnsi="Arial" w:cs="Arial"/>
          <w:sz w:val="24"/>
          <w:szCs w:val="24"/>
        </w:rPr>
        <w:t>P</w:t>
      </w:r>
      <w:r w:rsidRPr="00F45280">
        <w:rPr>
          <w:rFonts w:ascii="Arial" w:hAnsi="Arial" w:cs="Arial"/>
          <w:sz w:val="24"/>
          <w:szCs w:val="24"/>
        </w:rPr>
        <w:t xml:space="preserve">erformance of </w:t>
      </w:r>
      <w:r w:rsidR="00310572">
        <w:rPr>
          <w:rFonts w:ascii="Arial" w:hAnsi="Arial" w:cs="Arial"/>
          <w:sz w:val="24"/>
          <w:szCs w:val="24"/>
        </w:rPr>
        <w:t>S</w:t>
      </w:r>
      <w:r w:rsidRPr="00F45280">
        <w:rPr>
          <w:rFonts w:ascii="Arial" w:hAnsi="Arial" w:cs="Arial"/>
          <w:sz w:val="24"/>
          <w:szCs w:val="24"/>
        </w:rPr>
        <w:t xml:space="preserve">mall and </w:t>
      </w:r>
      <w:r w:rsidR="00310572">
        <w:rPr>
          <w:rFonts w:ascii="Arial" w:hAnsi="Arial" w:cs="Arial"/>
          <w:sz w:val="24"/>
          <w:szCs w:val="24"/>
        </w:rPr>
        <w:t>M</w:t>
      </w:r>
      <w:r w:rsidRPr="00F45280">
        <w:rPr>
          <w:rFonts w:ascii="Arial" w:hAnsi="Arial" w:cs="Arial"/>
          <w:sz w:val="24"/>
          <w:szCs w:val="24"/>
        </w:rPr>
        <w:t xml:space="preserve">edium </w:t>
      </w:r>
      <w:r w:rsidR="00310572">
        <w:rPr>
          <w:rFonts w:ascii="Arial" w:hAnsi="Arial" w:cs="Arial"/>
          <w:sz w:val="24"/>
          <w:szCs w:val="24"/>
        </w:rPr>
        <w:t>S</w:t>
      </w:r>
      <w:r w:rsidRPr="00F45280">
        <w:rPr>
          <w:rFonts w:ascii="Arial" w:hAnsi="Arial" w:cs="Arial"/>
          <w:sz w:val="24"/>
          <w:szCs w:val="24"/>
        </w:rPr>
        <w:t xml:space="preserve">ize </w:t>
      </w:r>
      <w:r w:rsidR="00310572">
        <w:rPr>
          <w:rFonts w:ascii="Arial" w:hAnsi="Arial" w:cs="Arial"/>
          <w:sz w:val="24"/>
          <w:szCs w:val="24"/>
        </w:rPr>
        <w:t>F</w:t>
      </w:r>
      <w:r w:rsidRPr="00F45280">
        <w:rPr>
          <w:rFonts w:ascii="Arial" w:hAnsi="Arial" w:cs="Arial"/>
          <w:sz w:val="24"/>
          <w:szCs w:val="24"/>
        </w:rPr>
        <w:t xml:space="preserve">irms. </w:t>
      </w:r>
      <w:r w:rsidRPr="00F45280">
        <w:rPr>
          <w:rFonts w:ascii="Arial" w:hAnsi="Arial" w:cs="Arial"/>
          <w:i/>
          <w:sz w:val="24"/>
          <w:szCs w:val="24"/>
        </w:rPr>
        <w:t>Journal of Banking and Finance, 32</w:t>
      </w:r>
      <w:r w:rsidRPr="00F45280">
        <w:rPr>
          <w:rFonts w:ascii="Arial" w:hAnsi="Arial" w:cs="Arial"/>
          <w:sz w:val="24"/>
          <w:szCs w:val="24"/>
        </w:rPr>
        <w:t xml:space="preserve">, </w:t>
      </w:r>
      <w:r w:rsidR="00F104D1">
        <w:rPr>
          <w:rFonts w:ascii="Arial" w:hAnsi="Arial" w:cs="Arial"/>
          <w:sz w:val="24"/>
          <w:szCs w:val="24"/>
        </w:rPr>
        <w:t xml:space="preserve">pp. </w:t>
      </w:r>
      <w:r w:rsidRPr="00F45280">
        <w:rPr>
          <w:rFonts w:ascii="Arial" w:hAnsi="Arial" w:cs="Arial"/>
          <w:sz w:val="24"/>
          <w:szCs w:val="24"/>
        </w:rPr>
        <w:t>1098-1109.</w:t>
      </w:r>
    </w:p>
    <w:p w:rsidR="00F45280" w:rsidRDefault="00F45280" w:rsidP="00F45280">
      <w:pPr>
        <w:spacing w:line="240" w:lineRule="auto"/>
        <w:ind w:left="450" w:hanging="450"/>
        <w:jc w:val="both"/>
        <w:rPr>
          <w:rFonts w:ascii="Arial" w:hAnsi="Arial" w:cs="Arial"/>
          <w:sz w:val="24"/>
          <w:szCs w:val="24"/>
        </w:rPr>
      </w:pPr>
      <w:r w:rsidRPr="00F45280">
        <w:rPr>
          <w:rFonts w:ascii="Arial" w:hAnsi="Arial" w:cs="Arial"/>
          <w:sz w:val="24"/>
          <w:szCs w:val="24"/>
        </w:rPr>
        <w:t xml:space="preserve">Boone, A.L., Field, L.C., </w:t>
      </w:r>
      <w:proofErr w:type="spellStart"/>
      <w:r w:rsidRPr="00F45280">
        <w:rPr>
          <w:rFonts w:ascii="Arial" w:hAnsi="Arial" w:cs="Arial"/>
          <w:sz w:val="24"/>
          <w:szCs w:val="24"/>
        </w:rPr>
        <w:t>Karpoff</w:t>
      </w:r>
      <w:proofErr w:type="spellEnd"/>
      <w:r w:rsidRPr="00F45280">
        <w:rPr>
          <w:rFonts w:ascii="Arial" w:hAnsi="Arial" w:cs="Arial"/>
          <w:sz w:val="24"/>
          <w:szCs w:val="24"/>
        </w:rPr>
        <w:t xml:space="preserve">, J.M., &amp; </w:t>
      </w:r>
      <w:proofErr w:type="spellStart"/>
      <w:r w:rsidRPr="00F45280">
        <w:rPr>
          <w:rFonts w:ascii="Arial" w:hAnsi="Arial" w:cs="Arial"/>
          <w:sz w:val="24"/>
          <w:szCs w:val="24"/>
        </w:rPr>
        <w:t>Raheja</w:t>
      </w:r>
      <w:proofErr w:type="spellEnd"/>
      <w:r w:rsidRPr="00F45280">
        <w:rPr>
          <w:rFonts w:ascii="Arial" w:hAnsi="Arial" w:cs="Arial"/>
          <w:sz w:val="24"/>
          <w:szCs w:val="24"/>
        </w:rPr>
        <w:t xml:space="preserve">, C.G. (2007). The </w:t>
      </w:r>
      <w:r w:rsidR="00310572">
        <w:rPr>
          <w:rFonts w:ascii="Arial" w:hAnsi="Arial" w:cs="Arial"/>
          <w:sz w:val="24"/>
          <w:szCs w:val="24"/>
        </w:rPr>
        <w:t>D</w:t>
      </w:r>
      <w:r w:rsidRPr="00F45280">
        <w:rPr>
          <w:rFonts w:ascii="Arial" w:hAnsi="Arial" w:cs="Arial"/>
          <w:sz w:val="24"/>
          <w:szCs w:val="24"/>
        </w:rPr>
        <w:t xml:space="preserve">eterminants of </w:t>
      </w:r>
      <w:r w:rsidR="00310572">
        <w:rPr>
          <w:rFonts w:ascii="Arial" w:hAnsi="Arial" w:cs="Arial"/>
          <w:sz w:val="24"/>
          <w:szCs w:val="24"/>
        </w:rPr>
        <w:t>C</w:t>
      </w:r>
      <w:r w:rsidRPr="00F45280">
        <w:rPr>
          <w:rFonts w:ascii="Arial" w:hAnsi="Arial" w:cs="Arial"/>
          <w:sz w:val="24"/>
          <w:szCs w:val="24"/>
        </w:rPr>
        <w:t xml:space="preserve">orporate </w:t>
      </w:r>
      <w:r w:rsidR="00310572">
        <w:rPr>
          <w:rFonts w:ascii="Arial" w:hAnsi="Arial" w:cs="Arial"/>
          <w:sz w:val="24"/>
          <w:szCs w:val="24"/>
        </w:rPr>
        <w:t>B</w:t>
      </w:r>
      <w:r w:rsidRPr="00F45280">
        <w:rPr>
          <w:rFonts w:ascii="Arial" w:hAnsi="Arial" w:cs="Arial"/>
          <w:sz w:val="24"/>
          <w:szCs w:val="24"/>
        </w:rPr>
        <w:t xml:space="preserve">oard </w:t>
      </w:r>
      <w:r w:rsidR="00310572">
        <w:rPr>
          <w:rFonts w:ascii="Arial" w:hAnsi="Arial" w:cs="Arial"/>
          <w:sz w:val="24"/>
          <w:szCs w:val="24"/>
        </w:rPr>
        <w:t>S</w:t>
      </w:r>
      <w:r w:rsidRPr="00F45280">
        <w:rPr>
          <w:rFonts w:ascii="Arial" w:hAnsi="Arial" w:cs="Arial"/>
          <w:sz w:val="24"/>
          <w:szCs w:val="24"/>
        </w:rPr>
        <w:t xml:space="preserve">ize and </w:t>
      </w:r>
      <w:r w:rsidR="00310572">
        <w:rPr>
          <w:rFonts w:ascii="Arial" w:hAnsi="Arial" w:cs="Arial"/>
          <w:sz w:val="24"/>
          <w:szCs w:val="24"/>
        </w:rPr>
        <w:t>C</w:t>
      </w:r>
      <w:r w:rsidRPr="00F45280">
        <w:rPr>
          <w:rFonts w:ascii="Arial" w:hAnsi="Arial" w:cs="Arial"/>
          <w:sz w:val="24"/>
          <w:szCs w:val="24"/>
        </w:rPr>
        <w:t xml:space="preserve">omposition: an </w:t>
      </w:r>
      <w:r w:rsidR="00310572">
        <w:rPr>
          <w:rFonts w:ascii="Arial" w:hAnsi="Arial" w:cs="Arial"/>
          <w:sz w:val="24"/>
          <w:szCs w:val="24"/>
        </w:rPr>
        <w:t>E</w:t>
      </w:r>
      <w:r w:rsidRPr="00F45280">
        <w:rPr>
          <w:rFonts w:ascii="Arial" w:hAnsi="Arial" w:cs="Arial"/>
          <w:sz w:val="24"/>
          <w:szCs w:val="24"/>
        </w:rPr>
        <w:t xml:space="preserve">mpirical </w:t>
      </w:r>
      <w:r w:rsidR="00310572">
        <w:rPr>
          <w:rFonts w:ascii="Arial" w:hAnsi="Arial" w:cs="Arial"/>
          <w:sz w:val="24"/>
          <w:szCs w:val="24"/>
        </w:rPr>
        <w:t>A</w:t>
      </w:r>
      <w:r w:rsidRPr="00F45280">
        <w:rPr>
          <w:rFonts w:ascii="Arial" w:hAnsi="Arial" w:cs="Arial"/>
          <w:sz w:val="24"/>
          <w:szCs w:val="24"/>
        </w:rPr>
        <w:t xml:space="preserve">nalysis. </w:t>
      </w:r>
      <w:r w:rsidRPr="00F45280">
        <w:rPr>
          <w:rFonts w:ascii="Arial" w:hAnsi="Arial" w:cs="Arial"/>
          <w:i/>
          <w:sz w:val="24"/>
          <w:szCs w:val="24"/>
        </w:rPr>
        <w:t>Journal of Financial Economics, 85</w:t>
      </w:r>
      <w:r w:rsidRPr="00F45280">
        <w:rPr>
          <w:rFonts w:ascii="Arial" w:hAnsi="Arial" w:cs="Arial"/>
          <w:sz w:val="24"/>
          <w:szCs w:val="24"/>
        </w:rPr>
        <w:t xml:space="preserve">, </w:t>
      </w:r>
      <w:r w:rsidR="00F104D1">
        <w:rPr>
          <w:rFonts w:ascii="Arial" w:hAnsi="Arial" w:cs="Arial"/>
          <w:sz w:val="24"/>
          <w:szCs w:val="24"/>
        </w:rPr>
        <w:t xml:space="preserve">pp. </w:t>
      </w:r>
      <w:r w:rsidRPr="00F45280">
        <w:rPr>
          <w:rFonts w:ascii="Arial" w:hAnsi="Arial" w:cs="Arial"/>
          <w:sz w:val="24"/>
          <w:szCs w:val="24"/>
        </w:rPr>
        <w:t>66-101.</w:t>
      </w:r>
    </w:p>
    <w:p w:rsidR="00F104D1" w:rsidRDefault="00F104D1" w:rsidP="00F104D1">
      <w:pPr>
        <w:rPr>
          <w:rFonts w:ascii="Arial" w:hAnsi="Arial" w:cs="Arial"/>
          <w:sz w:val="24"/>
          <w:szCs w:val="24"/>
        </w:rPr>
      </w:pPr>
      <w:proofErr w:type="spellStart"/>
      <w:r>
        <w:rPr>
          <w:rFonts w:ascii="Arial" w:hAnsi="Arial" w:cs="Arial"/>
          <w:sz w:val="24"/>
          <w:szCs w:val="24"/>
        </w:rPr>
        <w:t>Eaglesham</w:t>
      </w:r>
      <w:proofErr w:type="spellEnd"/>
      <w:r>
        <w:rPr>
          <w:rFonts w:ascii="Arial" w:hAnsi="Arial" w:cs="Arial"/>
          <w:sz w:val="24"/>
          <w:szCs w:val="24"/>
        </w:rPr>
        <w:t xml:space="preserve">, J. (2013). Accounting Fraud Targeted. </w:t>
      </w:r>
      <w:r w:rsidRPr="00F104D1">
        <w:rPr>
          <w:rFonts w:ascii="Arial" w:hAnsi="Arial" w:cs="Arial"/>
          <w:i/>
          <w:sz w:val="24"/>
          <w:szCs w:val="24"/>
        </w:rPr>
        <w:t>Wall Street Journal</w:t>
      </w:r>
      <w:r>
        <w:rPr>
          <w:rFonts w:ascii="Arial" w:hAnsi="Arial" w:cs="Arial"/>
          <w:sz w:val="24"/>
          <w:szCs w:val="24"/>
        </w:rPr>
        <w:t xml:space="preserve">, May 27.  </w:t>
      </w:r>
    </w:p>
    <w:p w:rsidR="00F45280" w:rsidRPr="00F45280" w:rsidRDefault="00F45280" w:rsidP="00F45280">
      <w:pPr>
        <w:spacing w:line="240" w:lineRule="auto"/>
        <w:ind w:left="450" w:hanging="450"/>
        <w:jc w:val="both"/>
        <w:rPr>
          <w:rFonts w:ascii="Arial" w:hAnsi="Arial" w:cs="Arial"/>
          <w:sz w:val="24"/>
          <w:szCs w:val="24"/>
        </w:rPr>
      </w:pPr>
      <w:r w:rsidRPr="00F45280">
        <w:rPr>
          <w:rFonts w:ascii="Arial" w:hAnsi="Arial" w:cs="Arial"/>
          <w:sz w:val="24"/>
          <w:szCs w:val="24"/>
        </w:rPr>
        <w:t xml:space="preserve">Ferris, S.P., </w:t>
      </w:r>
      <w:proofErr w:type="spellStart"/>
      <w:r w:rsidRPr="00F45280">
        <w:rPr>
          <w:rFonts w:ascii="Arial" w:hAnsi="Arial" w:cs="Arial"/>
          <w:sz w:val="24"/>
          <w:szCs w:val="24"/>
        </w:rPr>
        <w:t>Jagannathan</w:t>
      </w:r>
      <w:proofErr w:type="spellEnd"/>
      <w:r w:rsidRPr="00F45280">
        <w:rPr>
          <w:rFonts w:ascii="Arial" w:hAnsi="Arial" w:cs="Arial"/>
          <w:sz w:val="24"/>
          <w:szCs w:val="24"/>
        </w:rPr>
        <w:t xml:space="preserve">, M., &amp; Pritchard, A.C. (2003). Too </w:t>
      </w:r>
      <w:r w:rsidR="00310572">
        <w:rPr>
          <w:rFonts w:ascii="Arial" w:hAnsi="Arial" w:cs="Arial"/>
          <w:sz w:val="24"/>
          <w:szCs w:val="24"/>
        </w:rPr>
        <w:t>B</w:t>
      </w:r>
      <w:r w:rsidRPr="00F45280">
        <w:rPr>
          <w:rFonts w:ascii="Arial" w:hAnsi="Arial" w:cs="Arial"/>
          <w:sz w:val="24"/>
          <w:szCs w:val="24"/>
        </w:rPr>
        <w:t xml:space="preserve">usy to </w:t>
      </w:r>
      <w:r w:rsidR="00310572">
        <w:rPr>
          <w:rFonts w:ascii="Arial" w:hAnsi="Arial" w:cs="Arial"/>
          <w:sz w:val="24"/>
          <w:szCs w:val="24"/>
        </w:rPr>
        <w:t>M</w:t>
      </w:r>
      <w:r w:rsidRPr="00F45280">
        <w:rPr>
          <w:rFonts w:ascii="Arial" w:hAnsi="Arial" w:cs="Arial"/>
          <w:sz w:val="24"/>
          <w:szCs w:val="24"/>
        </w:rPr>
        <w:t xml:space="preserve">ind the </w:t>
      </w:r>
      <w:r w:rsidR="00310572">
        <w:rPr>
          <w:rFonts w:ascii="Arial" w:hAnsi="Arial" w:cs="Arial"/>
          <w:sz w:val="24"/>
          <w:szCs w:val="24"/>
        </w:rPr>
        <w:t>B</w:t>
      </w:r>
      <w:r w:rsidRPr="00F45280">
        <w:rPr>
          <w:rFonts w:ascii="Arial" w:hAnsi="Arial" w:cs="Arial"/>
          <w:sz w:val="24"/>
          <w:szCs w:val="24"/>
        </w:rPr>
        <w:t xml:space="preserve">usiness. Monitoring by </w:t>
      </w:r>
      <w:r w:rsidR="00310572">
        <w:rPr>
          <w:rFonts w:ascii="Arial" w:hAnsi="Arial" w:cs="Arial"/>
          <w:sz w:val="24"/>
          <w:szCs w:val="24"/>
        </w:rPr>
        <w:t>D</w:t>
      </w:r>
      <w:r w:rsidRPr="00F45280">
        <w:rPr>
          <w:rFonts w:ascii="Arial" w:hAnsi="Arial" w:cs="Arial"/>
          <w:sz w:val="24"/>
          <w:szCs w:val="24"/>
        </w:rPr>
        <w:t xml:space="preserve">irectors with </w:t>
      </w:r>
      <w:r w:rsidR="00310572">
        <w:rPr>
          <w:rFonts w:ascii="Arial" w:hAnsi="Arial" w:cs="Arial"/>
          <w:sz w:val="24"/>
          <w:szCs w:val="24"/>
        </w:rPr>
        <w:t>M</w:t>
      </w:r>
      <w:r w:rsidRPr="00F45280">
        <w:rPr>
          <w:rFonts w:ascii="Arial" w:hAnsi="Arial" w:cs="Arial"/>
          <w:sz w:val="24"/>
          <w:szCs w:val="24"/>
        </w:rPr>
        <w:t xml:space="preserve">ultiple </w:t>
      </w:r>
      <w:r w:rsidR="00310572">
        <w:rPr>
          <w:rFonts w:ascii="Arial" w:hAnsi="Arial" w:cs="Arial"/>
          <w:sz w:val="24"/>
          <w:szCs w:val="24"/>
        </w:rPr>
        <w:t>B</w:t>
      </w:r>
      <w:r w:rsidRPr="00F45280">
        <w:rPr>
          <w:rFonts w:ascii="Arial" w:hAnsi="Arial" w:cs="Arial"/>
          <w:sz w:val="24"/>
          <w:szCs w:val="24"/>
        </w:rPr>
        <w:t xml:space="preserve">oard </w:t>
      </w:r>
      <w:r w:rsidR="00310572">
        <w:rPr>
          <w:rFonts w:ascii="Arial" w:hAnsi="Arial" w:cs="Arial"/>
          <w:sz w:val="24"/>
          <w:szCs w:val="24"/>
        </w:rPr>
        <w:t>A</w:t>
      </w:r>
      <w:r w:rsidRPr="00F45280">
        <w:rPr>
          <w:rFonts w:ascii="Arial" w:hAnsi="Arial" w:cs="Arial"/>
          <w:sz w:val="24"/>
          <w:szCs w:val="24"/>
        </w:rPr>
        <w:t xml:space="preserve">ppointments. </w:t>
      </w:r>
      <w:r w:rsidRPr="00F45280">
        <w:rPr>
          <w:rFonts w:ascii="Arial" w:hAnsi="Arial" w:cs="Arial"/>
          <w:i/>
          <w:sz w:val="24"/>
          <w:szCs w:val="24"/>
        </w:rPr>
        <w:t>Journal of Finance, 58</w:t>
      </w:r>
      <w:r w:rsidRPr="00F45280">
        <w:rPr>
          <w:rFonts w:ascii="Arial" w:hAnsi="Arial" w:cs="Arial"/>
          <w:sz w:val="24"/>
          <w:szCs w:val="24"/>
        </w:rPr>
        <w:t xml:space="preserve"> (3), </w:t>
      </w:r>
      <w:r w:rsidR="00F104D1">
        <w:rPr>
          <w:rFonts w:ascii="Arial" w:hAnsi="Arial" w:cs="Arial"/>
          <w:sz w:val="24"/>
          <w:szCs w:val="24"/>
        </w:rPr>
        <w:t xml:space="preserve">pp. </w:t>
      </w:r>
      <w:r w:rsidRPr="00F45280">
        <w:rPr>
          <w:rFonts w:ascii="Arial" w:hAnsi="Arial" w:cs="Arial"/>
          <w:sz w:val="24"/>
          <w:szCs w:val="24"/>
        </w:rPr>
        <w:t>1087-1112.</w:t>
      </w:r>
    </w:p>
    <w:p w:rsidR="00F45280" w:rsidRDefault="00F45280" w:rsidP="00F45280">
      <w:pPr>
        <w:spacing w:line="240" w:lineRule="auto"/>
        <w:ind w:left="450" w:hanging="450"/>
        <w:jc w:val="both"/>
        <w:rPr>
          <w:rFonts w:ascii="Arial" w:hAnsi="Arial" w:cs="Arial"/>
          <w:sz w:val="24"/>
          <w:szCs w:val="24"/>
        </w:rPr>
      </w:pPr>
      <w:r w:rsidRPr="00F45280">
        <w:rPr>
          <w:rFonts w:ascii="Arial" w:hAnsi="Arial" w:cs="Arial"/>
          <w:sz w:val="24"/>
          <w:szCs w:val="24"/>
        </w:rPr>
        <w:t xml:space="preserve">Gorton, G., &amp; </w:t>
      </w:r>
      <w:proofErr w:type="spellStart"/>
      <w:r w:rsidRPr="00F45280">
        <w:rPr>
          <w:rFonts w:ascii="Arial" w:hAnsi="Arial" w:cs="Arial"/>
          <w:sz w:val="24"/>
          <w:szCs w:val="24"/>
        </w:rPr>
        <w:t>Kahl</w:t>
      </w:r>
      <w:proofErr w:type="spellEnd"/>
      <w:r w:rsidRPr="00F45280">
        <w:rPr>
          <w:rFonts w:ascii="Arial" w:hAnsi="Arial" w:cs="Arial"/>
          <w:sz w:val="24"/>
          <w:szCs w:val="24"/>
        </w:rPr>
        <w:t>, M. (2008). Block</w:t>
      </w:r>
      <w:r w:rsidR="00310572">
        <w:rPr>
          <w:rFonts w:ascii="Arial" w:hAnsi="Arial" w:cs="Arial"/>
          <w:sz w:val="24"/>
          <w:szCs w:val="24"/>
        </w:rPr>
        <w:t>-</w:t>
      </w:r>
      <w:r w:rsidR="0093361B">
        <w:rPr>
          <w:rFonts w:ascii="Arial" w:hAnsi="Arial" w:cs="Arial"/>
          <w:sz w:val="24"/>
          <w:szCs w:val="24"/>
        </w:rPr>
        <w:t>H</w:t>
      </w:r>
      <w:r w:rsidRPr="00F45280">
        <w:rPr>
          <w:rFonts w:ascii="Arial" w:hAnsi="Arial" w:cs="Arial"/>
          <w:sz w:val="24"/>
          <w:szCs w:val="24"/>
        </w:rPr>
        <w:t xml:space="preserve">older </w:t>
      </w:r>
      <w:r w:rsidR="00310572">
        <w:rPr>
          <w:rFonts w:ascii="Arial" w:hAnsi="Arial" w:cs="Arial"/>
          <w:sz w:val="24"/>
          <w:szCs w:val="24"/>
        </w:rPr>
        <w:t>S</w:t>
      </w:r>
      <w:r w:rsidRPr="00F45280">
        <w:rPr>
          <w:rFonts w:ascii="Arial" w:hAnsi="Arial" w:cs="Arial"/>
          <w:sz w:val="24"/>
          <w:szCs w:val="24"/>
        </w:rPr>
        <w:t xml:space="preserve">carcity, </w:t>
      </w:r>
      <w:r w:rsidR="00310572">
        <w:rPr>
          <w:rFonts w:ascii="Arial" w:hAnsi="Arial" w:cs="Arial"/>
          <w:sz w:val="24"/>
          <w:szCs w:val="24"/>
        </w:rPr>
        <w:t>T</w:t>
      </w:r>
      <w:r w:rsidRPr="00F45280">
        <w:rPr>
          <w:rFonts w:ascii="Arial" w:hAnsi="Arial" w:cs="Arial"/>
          <w:sz w:val="24"/>
          <w:szCs w:val="24"/>
        </w:rPr>
        <w:t xml:space="preserve">akeovers, and </w:t>
      </w:r>
      <w:r w:rsidR="00310572">
        <w:rPr>
          <w:rFonts w:ascii="Arial" w:hAnsi="Arial" w:cs="Arial"/>
          <w:sz w:val="24"/>
          <w:szCs w:val="24"/>
        </w:rPr>
        <w:t>O</w:t>
      </w:r>
      <w:r w:rsidRPr="00F45280">
        <w:rPr>
          <w:rFonts w:ascii="Arial" w:hAnsi="Arial" w:cs="Arial"/>
          <w:sz w:val="24"/>
          <w:szCs w:val="24"/>
        </w:rPr>
        <w:t xml:space="preserve">wnership </w:t>
      </w:r>
      <w:r w:rsidR="00310572">
        <w:rPr>
          <w:rFonts w:ascii="Arial" w:hAnsi="Arial" w:cs="Arial"/>
          <w:sz w:val="24"/>
          <w:szCs w:val="24"/>
        </w:rPr>
        <w:t>S</w:t>
      </w:r>
      <w:r w:rsidRPr="00F45280">
        <w:rPr>
          <w:rFonts w:ascii="Arial" w:hAnsi="Arial" w:cs="Arial"/>
          <w:sz w:val="24"/>
          <w:szCs w:val="24"/>
        </w:rPr>
        <w:t xml:space="preserve">tructures. </w:t>
      </w:r>
      <w:r w:rsidRPr="00F45280">
        <w:rPr>
          <w:rFonts w:ascii="Arial" w:hAnsi="Arial" w:cs="Arial"/>
          <w:i/>
          <w:sz w:val="24"/>
          <w:szCs w:val="24"/>
        </w:rPr>
        <w:t>Journal of Financial and Quantitative Economics, 43</w:t>
      </w:r>
      <w:r w:rsidRPr="00F45280">
        <w:rPr>
          <w:rFonts w:ascii="Arial" w:hAnsi="Arial" w:cs="Arial"/>
          <w:sz w:val="24"/>
          <w:szCs w:val="24"/>
        </w:rPr>
        <w:t xml:space="preserve">(4), </w:t>
      </w:r>
      <w:r w:rsidR="00F104D1">
        <w:rPr>
          <w:rFonts w:ascii="Arial" w:hAnsi="Arial" w:cs="Arial"/>
          <w:sz w:val="24"/>
          <w:szCs w:val="24"/>
        </w:rPr>
        <w:t xml:space="preserve">pp. </w:t>
      </w:r>
      <w:r w:rsidRPr="00F45280">
        <w:rPr>
          <w:rFonts w:ascii="Arial" w:hAnsi="Arial" w:cs="Arial"/>
          <w:sz w:val="24"/>
          <w:szCs w:val="24"/>
        </w:rPr>
        <w:t>937-974.</w:t>
      </w:r>
    </w:p>
    <w:p w:rsidR="00DC1AD0" w:rsidRDefault="00DC1AD0" w:rsidP="00F45280">
      <w:pPr>
        <w:spacing w:line="240" w:lineRule="auto"/>
        <w:ind w:left="450" w:hanging="450"/>
        <w:jc w:val="both"/>
        <w:rPr>
          <w:rFonts w:ascii="Arial" w:hAnsi="Arial" w:cs="Arial"/>
          <w:sz w:val="24"/>
          <w:szCs w:val="24"/>
        </w:rPr>
      </w:pPr>
      <w:r>
        <w:rPr>
          <w:rFonts w:ascii="Arial" w:hAnsi="Arial" w:cs="Arial"/>
          <w:sz w:val="24"/>
          <w:szCs w:val="24"/>
        </w:rPr>
        <w:t xml:space="preserve">Grove, H and Clouse, M. (2014). Gold Mining Companies: Going Concern Analyses. </w:t>
      </w:r>
      <w:r w:rsidRPr="00DC1AD0">
        <w:rPr>
          <w:rFonts w:ascii="Arial" w:hAnsi="Arial" w:cs="Arial"/>
          <w:i/>
          <w:sz w:val="24"/>
          <w:szCs w:val="24"/>
        </w:rPr>
        <w:t>Oil, Gas and Energy Quarterly</w:t>
      </w:r>
      <w:r>
        <w:rPr>
          <w:rFonts w:ascii="Arial" w:hAnsi="Arial" w:cs="Arial"/>
          <w:sz w:val="24"/>
          <w:szCs w:val="24"/>
        </w:rPr>
        <w:t>, forthcoming.</w:t>
      </w:r>
    </w:p>
    <w:p w:rsidR="00073F4A" w:rsidRPr="00F45280" w:rsidRDefault="00073F4A" w:rsidP="00F45280">
      <w:pPr>
        <w:spacing w:line="240" w:lineRule="auto"/>
        <w:ind w:left="450" w:hanging="450"/>
        <w:jc w:val="both"/>
        <w:rPr>
          <w:rFonts w:ascii="Arial" w:hAnsi="Arial" w:cs="Arial"/>
          <w:sz w:val="24"/>
          <w:szCs w:val="24"/>
        </w:rPr>
      </w:pPr>
      <w:r>
        <w:rPr>
          <w:rFonts w:ascii="Arial" w:hAnsi="Arial" w:cs="Arial"/>
          <w:sz w:val="24"/>
          <w:szCs w:val="24"/>
        </w:rPr>
        <w:t xml:space="preserve">Grove H. and Clouse, M. (2014). Using Fraud Models and Ratios to Improve Cross-Border Forensic Analysis: Examples with Chinese IPO and RTO Companies. Working Paper submitted to </w:t>
      </w:r>
      <w:r>
        <w:rPr>
          <w:rFonts w:ascii="Arial" w:hAnsi="Arial" w:cs="Arial"/>
          <w:sz w:val="24"/>
          <w:szCs w:val="24"/>
          <w:u w:val="single"/>
        </w:rPr>
        <w:t>Journal of Forensic and Investigative Accounting</w:t>
      </w:r>
      <w:r>
        <w:rPr>
          <w:rFonts w:ascii="Arial" w:hAnsi="Arial" w:cs="Arial"/>
          <w:sz w:val="24"/>
          <w:szCs w:val="24"/>
        </w:rPr>
        <w:t>.</w:t>
      </w:r>
    </w:p>
    <w:p w:rsidR="00F45280" w:rsidRPr="00F45280" w:rsidRDefault="00F45280" w:rsidP="00F45280">
      <w:pPr>
        <w:spacing w:line="240" w:lineRule="auto"/>
        <w:ind w:left="450" w:hanging="450"/>
        <w:jc w:val="both"/>
        <w:rPr>
          <w:rFonts w:ascii="Arial" w:hAnsi="Arial" w:cs="Arial"/>
          <w:sz w:val="24"/>
          <w:szCs w:val="24"/>
        </w:rPr>
      </w:pPr>
      <w:r w:rsidRPr="00F45280">
        <w:rPr>
          <w:rFonts w:ascii="Arial" w:hAnsi="Arial" w:cs="Arial"/>
          <w:sz w:val="24"/>
          <w:szCs w:val="24"/>
        </w:rPr>
        <w:t xml:space="preserve">Grove, H., Patelli, L., Victoravich, </w:t>
      </w:r>
      <w:r w:rsidR="00073F4A">
        <w:rPr>
          <w:rFonts w:ascii="Arial" w:hAnsi="Arial" w:cs="Arial"/>
          <w:sz w:val="24"/>
          <w:szCs w:val="24"/>
        </w:rPr>
        <w:t>V</w:t>
      </w:r>
      <w:r w:rsidRPr="00F45280">
        <w:rPr>
          <w:rFonts w:ascii="Arial" w:hAnsi="Arial" w:cs="Arial"/>
          <w:sz w:val="24"/>
          <w:szCs w:val="24"/>
        </w:rPr>
        <w:t>.</w:t>
      </w:r>
      <w:r w:rsidR="00073F4A">
        <w:rPr>
          <w:rFonts w:ascii="Arial" w:hAnsi="Arial" w:cs="Arial"/>
          <w:sz w:val="24"/>
          <w:szCs w:val="24"/>
        </w:rPr>
        <w:t xml:space="preserve"> and</w:t>
      </w:r>
      <w:r w:rsidRPr="00F45280">
        <w:rPr>
          <w:rFonts w:ascii="Arial" w:hAnsi="Arial" w:cs="Arial"/>
          <w:sz w:val="24"/>
          <w:szCs w:val="24"/>
        </w:rPr>
        <w:t xml:space="preserve"> Xu, P. (2011). Corporate </w:t>
      </w:r>
      <w:r w:rsidR="00310572">
        <w:rPr>
          <w:rFonts w:ascii="Arial" w:hAnsi="Arial" w:cs="Arial"/>
          <w:sz w:val="24"/>
          <w:szCs w:val="24"/>
        </w:rPr>
        <w:t>G</w:t>
      </w:r>
      <w:r w:rsidRPr="00F45280">
        <w:rPr>
          <w:rFonts w:ascii="Arial" w:hAnsi="Arial" w:cs="Arial"/>
          <w:sz w:val="24"/>
          <w:szCs w:val="24"/>
        </w:rPr>
        <w:t xml:space="preserve">overnance and </w:t>
      </w:r>
      <w:r w:rsidR="00310572">
        <w:rPr>
          <w:rFonts w:ascii="Arial" w:hAnsi="Arial" w:cs="Arial"/>
          <w:sz w:val="24"/>
          <w:szCs w:val="24"/>
        </w:rPr>
        <w:t>P</w:t>
      </w:r>
      <w:r w:rsidRPr="00F45280">
        <w:rPr>
          <w:rFonts w:ascii="Arial" w:hAnsi="Arial" w:cs="Arial"/>
          <w:sz w:val="24"/>
          <w:szCs w:val="24"/>
        </w:rPr>
        <w:t xml:space="preserve">erformance in the </w:t>
      </w:r>
      <w:r w:rsidR="00310572">
        <w:rPr>
          <w:rFonts w:ascii="Arial" w:hAnsi="Arial" w:cs="Arial"/>
          <w:sz w:val="24"/>
          <w:szCs w:val="24"/>
        </w:rPr>
        <w:t>W</w:t>
      </w:r>
      <w:r w:rsidRPr="00F45280">
        <w:rPr>
          <w:rFonts w:ascii="Arial" w:hAnsi="Arial" w:cs="Arial"/>
          <w:sz w:val="24"/>
          <w:szCs w:val="24"/>
        </w:rPr>
        <w:t xml:space="preserve">ake of the </w:t>
      </w:r>
      <w:r w:rsidR="00310572">
        <w:rPr>
          <w:rFonts w:ascii="Arial" w:hAnsi="Arial" w:cs="Arial"/>
          <w:sz w:val="24"/>
          <w:szCs w:val="24"/>
        </w:rPr>
        <w:t>F</w:t>
      </w:r>
      <w:r w:rsidRPr="00F45280">
        <w:rPr>
          <w:rFonts w:ascii="Arial" w:hAnsi="Arial" w:cs="Arial"/>
          <w:sz w:val="24"/>
          <w:szCs w:val="24"/>
        </w:rPr>
        <w:t xml:space="preserve">inancial </w:t>
      </w:r>
      <w:r w:rsidR="00310572">
        <w:rPr>
          <w:rFonts w:ascii="Arial" w:hAnsi="Arial" w:cs="Arial"/>
          <w:sz w:val="24"/>
          <w:szCs w:val="24"/>
        </w:rPr>
        <w:t>C</w:t>
      </w:r>
      <w:r w:rsidRPr="00F45280">
        <w:rPr>
          <w:rFonts w:ascii="Arial" w:hAnsi="Arial" w:cs="Arial"/>
          <w:sz w:val="24"/>
          <w:szCs w:val="24"/>
        </w:rPr>
        <w:t xml:space="preserve">risis: </w:t>
      </w:r>
      <w:r w:rsidR="00310572">
        <w:rPr>
          <w:rFonts w:ascii="Arial" w:hAnsi="Arial" w:cs="Arial"/>
          <w:sz w:val="24"/>
          <w:szCs w:val="24"/>
        </w:rPr>
        <w:t>E</w:t>
      </w:r>
      <w:r w:rsidRPr="00F45280">
        <w:rPr>
          <w:rFonts w:ascii="Arial" w:hAnsi="Arial" w:cs="Arial"/>
          <w:sz w:val="24"/>
          <w:szCs w:val="24"/>
        </w:rPr>
        <w:t xml:space="preserve">vidence from US </w:t>
      </w:r>
      <w:r w:rsidR="00310572">
        <w:rPr>
          <w:rFonts w:ascii="Arial" w:hAnsi="Arial" w:cs="Arial"/>
          <w:sz w:val="24"/>
          <w:szCs w:val="24"/>
        </w:rPr>
        <w:t>C</w:t>
      </w:r>
      <w:r w:rsidRPr="00F45280">
        <w:rPr>
          <w:rFonts w:ascii="Arial" w:hAnsi="Arial" w:cs="Arial"/>
          <w:sz w:val="24"/>
          <w:szCs w:val="24"/>
        </w:rPr>
        <w:t xml:space="preserve">ommercial </w:t>
      </w:r>
      <w:r w:rsidR="00310572">
        <w:rPr>
          <w:rFonts w:ascii="Arial" w:hAnsi="Arial" w:cs="Arial"/>
          <w:sz w:val="24"/>
          <w:szCs w:val="24"/>
        </w:rPr>
        <w:t>B</w:t>
      </w:r>
      <w:r w:rsidRPr="00F45280">
        <w:rPr>
          <w:rFonts w:ascii="Arial" w:hAnsi="Arial" w:cs="Arial"/>
          <w:sz w:val="24"/>
          <w:szCs w:val="24"/>
        </w:rPr>
        <w:t xml:space="preserve">anks. </w:t>
      </w:r>
      <w:r w:rsidRPr="00F45280">
        <w:rPr>
          <w:rFonts w:ascii="Arial" w:hAnsi="Arial" w:cs="Arial"/>
          <w:i/>
          <w:sz w:val="24"/>
          <w:szCs w:val="24"/>
        </w:rPr>
        <w:t>Corporate Governance: An International Review</w:t>
      </w:r>
      <w:r w:rsidRPr="00F45280">
        <w:rPr>
          <w:rFonts w:ascii="Arial" w:hAnsi="Arial" w:cs="Arial"/>
          <w:sz w:val="24"/>
          <w:szCs w:val="24"/>
        </w:rPr>
        <w:t xml:space="preserve">, </w:t>
      </w:r>
      <w:r w:rsidRPr="00F45280">
        <w:rPr>
          <w:rFonts w:ascii="Arial" w:hAnsi="Arial" w:cs="Arial"/>
          <w:i/>
          <w:sz w:val="24"/>
          <w:szCs w:val="24"/>
        </w:rPr>
        <w:t>19</w:t>
      </w:r>
      <w:r w:rsidRPr="00F45280">
        <w:rPr>
          <w:rFonts w:ascii="Arial" w:hAnsi="Arial" w:cs="Arial"/>
          <w:sz w:val="24"/>
          <w:szCs w:val="24"/>
        </w:rPr>
        <w:t xml:space="preserve">(5), </w:t>
      </w:r>
      <w:r w:rsidR="00F104D1">
        <w:rPr>
          <w:rFonts w:ascii="Arial" w:hAnsi="Arial" w:cs="Arial"/>
          <w:sz w:val="24"/>
          <w:szCs w:val="24"/>
        </w:rPr>
        <w:t xml:space="preserve">pp. </w:t>
      </w:r>
      <w:r w:rsidRPr="00F45280">
        <w:rPr>
          <w:rFonts w:ascii="Arial" w:hAnsi="Arial" w:cs="Arial"/>
          <w:sz w:val="24"/>
          <w:szCs w:val="24"/>
        </w:rPr>
        <w:t>418-436.</w:t>
      </w:r>
    </w:p>
    <w:p w:rsidR="005F58E4" w:rsidRDefault="005F58E4" w:rsidP="005F58E4">
      <w:pPr>
        <w:widowControl w:val="0"/>
        <w:autoSpaceDE w:val="0"/>
        <w:autoSpaceDN w:val="0"/>
        <w:adjustRightInd w:val="0"/>
        <w:spacing w:line="240" w:lineRule="auto"/>
        <w:rPr>
          <w:rFonts w:ascii="Arial" w:hAnsi="Arial" w:cs="Arial"/>
          <w:sz w:val="24"/>
          <w:szCs w:val="24"/>
        </w:rPr>
      </w:pPr>
      <w:r w:rsidRPr="002A1498">
        <w:rPr>
          <w:rFonts w:ascii="Arial" w:hAnsi="Arial" w:cs="Arial"/>
          <w:sz w:val="24"/>
          <w:szCs w:val="24"/>
        </w:rPr>
        <w:t xml:space="preserve">Grove, H. and </w:t>
      </w:r>
      <w:proofErr w:type="spellStart"/>
      <w:r w:rsidRPr="002A1498">
        <w:rPr>
          <w:rFonts w:ascii="Arial" w:hAnsi="Arial" w:cs="Arial"/>
          <w:sz w:val="24"/>
          <w:szCs w:val="24"/>
        </w:rPr>
        <w:t>Basilico</w:t>
      </w:r>
      <w:proofErr w:type="spellEnd"/>
      <w:r w:rsidRPr="002A1498">
        <w:rPr>
          <w:rFonts w:ascii="Arial" w:hAnsi="Arial" w:cs="Arial"/>
          <w:sz w:val="24"/>
          <w:szCs w:val="24"/>
        </w:rPr>
        <w:t>,</w:t>
      </w:r>
      <w:r w:rsidR="00F104D1">
        <w:rPr>
          <w:rFonts w:ascii="Arial" w:hAnsi="Arial" w:cs="Arial"/>
          <w:sz w:val="24"/>
          <w:szCs w:val="24"/>
        </w:rPr>
        <w:t xml:space="preserve"> E. (2011). </w:t>
      </w:r>
      <w:r w:rsidRPr="002A1498">
        <w:rPr>
          <w:rFonts w:ascii="Arial" w:hAnsi="Arial" w:cs="Arial"/>
          <w:sz w:val="24"/>
          <w:szCs w:val="24"/>
        </w:rPr>
        <w:t>Major Financial Reporting Frauds of the 21</w:t>
      </w:r>
      <w:r w:rsidRPr="002A1498">
        <w:rPr>
          <w:rFonts w:ascii="Arial" w:hAnsi="Arial" w:cs="Arial"/>
          <w:sz w:val="24"/>
          <w:szCs w:val="24"/>
          <w:vertAlign w:val="superscript"/>
        </w:rPr>
        <w:t>st</w:t>
      </w:r>
      <w:r w:rsidRPr="002A1498">
        <w:rPr>
          <w:rFonts w:ascii="Arial" w:hAnsi="Arial" w:cs="Arial"/>
          <w:sz w:val="24"/>
          <w:szCs w:val="24"/>
        </w:rPr>
        <w:t xml:space="preserve"> Century: Corporate Governance and Risk Lessons Learned</w:t>
      </w:r>
      <w:r w:rsidR="00F104D1">
        <w:rPr>
          <w:rFonts w:ascii="Arial" w:hAnsi="Arial" w:cs="Arial"/>
          <w:sz w:val="24"/>
          <w:szCs w:val="24"/>
        </w:rPr>
        <w:t>.</w:t>
      </w:r>
      <w:r w:rsidRPr="002A1498">
        <w:rPr>
          <w:rFonts w:ascii="Arial" w:hAnsi="Arial" w:cs="Arial"/>
          <w:sz w:val="24"/>
          <w:szCs w:val="24"/>
        </w:rPr>
        <w:t xml:space="preserve"> </w:t>
      </w:r>
      <w:r w:rsidRPr="002A1498">
        <w:rPr>
          <w:rFonts w:ascii="Arial" w:hAnsi="Arial" w:cs="Arial"/>
          <w:i/>
          <w:sz w:val="24"/>
          <w:szCs w:val="24"/>
        </w:rPr>
        <w:t>Journal of Forensic and Investigative Accounting</w:t>
      </w:r>
      <w:r w:rsidRPr="002A1498">
        <w:rPr>
          <w:rFonts w:ascii="Arial" w:hAnsi="Arial" w:cs="Arial"/>
          <w:sz w:val="24"/>
          <w:szCs w:val="24"/>
        </w:rPr>
        <w:t>, Volume 2, No. 2, Special Issue, pp. 191-226.</w:t>
      </w:r>
    </w:p>
    <w:p w:rsidR="00F45280" w:rsidRDefault="00F45280" w:rsidP="00F45280">
      <w:pPr>
        <w:spacing w:line="240" w:lineRule="auto"/>
        <w:ind w:left="450" w:hanging="450"/>
        <w:jc w:val="both"/>
        <w:rPr>
          <w:rFonts w:ascii="Arial" w:hAnsi="Arial" w:cs="Arial"/>
          <w:sz w:val="24"/>
          <w:szCs w:val="24"/>
        </w:rPr>
      </w:pPr>
      <w:r w:rsidRPr="00F45280">
        <w:rPr>
          <w:rFonts w:ascii="Arial" w:hAnsi="Arial" w:cs="Arial"/>
          <w:sz w:val="24"/>
          <w:szCs w:val="24"/>
        </w:rPr>
        <w:t xml:space="preserve">Harris, I.C. &amp; Shimizu, K. (2004). Too </w:t>
      </w:r>
      <w:r w:rsidR="00310572">
        <w:rPr>
          <w:rFonts w:ascii="Arial" w:hAnsi="Arial" w:cs="Arial"/>
          <w:sz w:val="24"/>
          <w:szCs w:val="24"/>
        </w:rPr>
        <w:t>B</w:t>
      </w:r>
      <w:r w:rsidRPr="00F45280">
        <w:rPr>
          <w:rFonts w:ascii="Arial" w:hAnsi="Arial" w:cs="Arial"/>
          <w:sz w:val="24"/>
          <w:szCs w:val="24"/>
        </w:rPr>
        <w:t xml:space="preserve">usy to </w:t>
      </w:r>
      <w:r w:rsidR="00310572">
        <w:rPr>
          <w:rFonts w:ascii="Arial" w:hAnsi="Arial" w:cs="Arial"/>
          <w:sz w:val="24"/>
          <w:szCs w:val="24"/>
        </w:rPr>
        <w:t>S</w:t>
      </w:r>
      <w:r w:rsidRPr="00F45280">
        <w:rPr>
          <w:rFonts w:ascii="Arial" w:hAnsi="Arial" w:cs="Arial"/>
          <w:sz w:val="24"/>
          <w:szCs w:val="24"/>
        </w:rPr>
        <w:t xml:space="preserve">erve? An </w:t>
      </w:r>
      <w:r w:rsidR="00310572">
        <w:rPr>
          <w:rFonts w:ascii="Arial" w:hAnsi="Arial" w:cs="Arial"/>
          <w:sz w:val="24"/>
          <w:szCs w:val="24"/>
        </w:rPr>
        <w:t>E</w:t>
      </w:r>
      <w:r w:rsidRPr="00F45280">
        <w:rPr>
          <w:rFonts w:ascii="Arial" w:hAnsi="Arial" w:cs="Arial"/>
          <w:sz w:val="24"/>
          <w:szCs w:val="24"/>
        </w:rPr>
        <w:t xml:space="preserve">xamination of the </w:t>
      </w:r>
      <w:r w:rsidR="00310572">
        <w:rPr>
          <w:rFonts w:ascii="Arial" w:hAnsi="Arial" w:cs="Arial"/>
          <w:sz w:val="24"/>
          <w:szCs w:val="24"/>
        </w:rPr>
        <w:t>I</w:t>
      </w:r>
      <w:r w:rsidRPr="00F45280">
        <w:rPr>
          <w:rFonts w:ascii="Arial" w:hAnsi="Arial" w:cs="Arial"/>
          <w:sz w:val="24"/>
          <w:szCs w:val="24"/>
        </w:rPr>
        <w:t xml:space="preserve">nfluence of </w:t>
      </w:r>
      <w:r w:rsidR="00310572">
        <w:rPr>
          <w:rFonts w:ascii="Arial" w:hAnsi="Arial" w:cs="Arial"/>
          <w:sz w:val="24"/>
          <w:szCs w:val="24"/>
        </w:rPr>
        <w:t>O</w:t>
      </w:r>
      <w:r w:rsidRPr="00F45280">
        <w:rPr>
          <w:rFonts w:ascii="Arial" w:hAnsi="Arial" w:cs="Arial"/>
          <w:sz w:val="24"/>
          <w:szCs w:val="24"/>
        </w:rPr>
        <w:t>ver</w:t>
      </w:r>
      <w:r w:rsidR="00310572">
        <w:rPr>
          <w:rFonts w:ascii="Arial" w:hAnsi="Arial" w:cs="Arial"/>
          <w:sz w:val="24"/>
          <w:szCs w:val="24"/>
        </w:rPr>
        <w:t>-</w:t>
      </w:r>
      <w:r w:rsidR="0093361B">
        <w:rPr>
          <w:rFonts w:ascii="Arial" w:hAnsi="Arial" w:cs="Arial"/>
          <w:sz w:val="24"/>
          <w:szCs w:val="24"/>
        </w:rPr>
        <w:t>B</w:t>
      </w:r>
      <w:r w:rsidRPr="00F45280">
        <w:rPr>
          <w:rFonts w:ascii="Arial" w:hAnsi="Arial" w:cs="Arial"/>
          <w:sz w:val="24"/>
          <w:szCs w:val="24"/>
        </w:rPr>
        <w:t xml:space="preserve">oarded </w:t>
      </w:r>
      <w:r w:rsidR="00310572">
        <w:rPr>
          <w:rFonts w:ascii="Arial" w:hAnsi="Arial" w:cs="Arial"/>
          <w:sz w:val="24"/>
          <w:szCs w:val="24"/>
        </w:rPr>
        <w:t>D</w:t>
      </w:r>
      <w:r w:rsidRPr="00F45280">
        <w:rPr>
          <w:rFonts w:ascii="Arial" w:hAnsi="Arial" w:cs="Arial"/>
          <w:sz w:val="24"/>
          <w:szCs w:val="24"/>
        </w:rPr>
        <w:t xml:space="preserve">irectors. </w:t>
      </w:r>
      <w:r w:rsidRPr="00F45280">
        <w:rPr>
          <w:rFonts w:ascii="Arial" w:hAnsi="Arial" w:cs="Arial"/>
          <w:i/>
          <w:sz w:val="24"/>
          <w:szCs w:val="24"/>
        </w:rPr>
        <w:t>Journal of Management Studies, 41</w:t>
      </w:r>
      <w:r w:rsidRPr="00F45280">
        <w:rPr>
          <w:rFonts w:ascii="Arial" w:hAnsi="Arial" w:cs="Arial"/>
          <w:sz w:val="24"/>
          <w:szCs w:val="24"/>
        </w:rPr>
        <w:t xml:space="preserve">(5), </w:t>
      </w:r>
      <w:r w:rsidR="00F104D1">
        <w:rPr>
          <w:rFonts w:ascii="Arial" w:hAnsi="Arial" w:cs="Arial"/>
          <w:sz w:val="24"/>
          <w:szCs w:val="24"/>
        </w:rPr>
        <w:t xml:space="preserve">pp. </w:t>
      </w:r>
      <w:r w:rsidRPr="00F45280">
        <w:rPr>
          <w:rFonts w:ascii="Arial" w:hAnsi="Arial" w:cs="Arial"/>
          <w:sz w:val="24"/>
          <w:szCs w:val="24"/>
        </w:rPr>
        <w:t>775-798.</w:t>
      </w:r>
    </w:p>
    <w:p w:rsidR="00F270C6" w:rsidRPr="00F45280" w:rsidRDefault="00F270C6" w:rsidP="00F45280">
      <w:pPr>
        <w:spacing w:line="240" w:lineRule="auto"/>
        <w:ind w:left="450" w:hanging="450"/>
        <w:jc w:val="both"/>
        <w:rPr>
          <w:rFonts w:ascii="Arial" w:hAnsi="Arial" w:cs="Arial"/>
          <w:sz w:val="24"/>
          <w:szCs w:val="24"/>
        </w:rPr>
      </w:pPr>
      <w:proofErr w:type="spellStart"/>
      <w:r>
        <w:rPr>
          <w:rFonts w:ascii="Arial" w:hAnsi="Arial" w:cs="Arial"/>
          <w:sz w:val="24"/>
          <w:szCs w:val="24"/>
        </w:rPr>
        <w:t>Kalinoski</w:t>
      </w:r>
      <w:proofErr w:type="spellEnd"/>
      <w:r>
        <w:rPr>
          <w:rFonts w:ascii="Arial" w:hAnsi="Arial" w:cs="Arial"/>
          <w:sz w:val="24"/>
          <w:szCs w:val="24"/>
        </w:rPr>
        <w:t xml:space="preserve">, G. and Nelson, D. (2013). Gold Stock Advisor’s </w:t>
      </w:r>
      <w:proofErr w:type="spellStart"/>
      <w:r>
        <w:rPr>
          <w:rFonts w:ascii="Arial" w:hAnsi="Arial" w:cs="Arial"/>
          <w:sz w:val="24"/>
          <w:szCs w:val="24"/>
        </w:rPr>
        <w:t>Luongo</w:t>
      </w:r>
      <w:proofErr w:type="spellEnd"/>
      <w:r>
        <w:rPr>
          <w:rFonts w:ascii="Arial" w:hAnsi="Arial" w:cs="Arial"/>
          <w:sz w:val="24"/>
          <w:szCs w:val="24"/>
        </w:rPr>
        <w:t xml:space="preserve"> on Gold: Buy the Metal, Not the Stocks. </w:t>
      </w:r>
      <w:proofErr w:type="spellStart"/>
      <w:r w:rsidRPr="00F270C6">
        <w:rPr>
          <w:rFonts w:ascii="Arial" w:hAnsi="Arial" w:cs="Arial"/>
          <w:i/>
          <w:sz w:val="24"/>
          <w:szCs w:val="24"/>
        </w:rPr>
        <w:t>Moneynews</w:t>
      </w:r>
      <w:proofErr w:type="spellEnd"/>
      <w:r>
        <w:rPr>
          <w:rFonts w:ascii="Arial" w:hAnsi="Arial" w:cs="Arial"/>
          <w:sz w:val="24"/>
          <w:szCs w:val="24"/>
        </w:rPr>
        <w:t>, September 24.</w:t>
      </w:r>
    </w:p>
    <w:p w:rsidR="00F45280" w:rsidRDefault="00F45280" w:rsidP="00F45280">
      <w:pPr>
        <w:spacing w:line="240" w:lineRule="auto"/>
        <w:ind w:left="450" w:hanging="450"/>
        <w:jc w:val="both"/>
        <w:rPr>
          <w:rFonts w:ascii="Arial" w:hAnsi="Arial" w:cs="Arial"/>
          <w:sz w:val="24"/>
          <w:szCs w:val="24"/>
        </w:rPr>
      </w:pPr>
      <w:proofErr w:type="spellStart"/>
      <w:r w:rsidRPr="00F45280">
        <w:rPr>
          <w:rFonts w:ascii="Arial" w:hAnsi="Arial" w:cs="Arial"/>
          <w:sz w:val="24"/>
          <w:szCs w:val="24"/>
        </w:rPr>
        <w:lastRenderedPageBreak/>
        <w:t>Larcker</w:t>
      </w:r>
      <w:proofErr w:type="spellEnd"/>
      <w:r w:rsidRPr="00F45280">
        <w:rPr>
          <w:rFonts w:ascii="Arial" w:hAnsi="Arial" w:cs="Arial"/>
          <w:sz w:val="24"/>
          <w:szCs w:val="24"/>
        </w:rPr>
        <w:t xml:space="preserve">, D., Richardson, S., &amp; Tuna, I. (2007). Corporate </w:t>
      </w:r>
      <w:r w:rsidR="00310572">
        <w:rPr>
          <w:rFonts w:ascii="Arial" w:hAnsi="Arial" w:cs="Arial"/>
          <w:sz w:val="24"/>
          <w:szCs w:val="24"/>
        </w:rPr>
        <w:t>G</w:t>
      </w:r>
      <w:r w:rsidRPr="00F45280">
        <w:rPr>
          <w:rFonts w:ascii="Arial" w:hAnsi="Arial" w:cs="Arial"/>
          <w:sz w:val="24"/>
          <w:szCs w:val="24"/>
        </w:rPr>
        <w:t xml:space="preserve">overnance, </w:t>
      </w:r>
      <w:r w:rsidR="00310572">
        <w:rPr>
          <w:rFonts w:ascii="Arial" w:hAnsi="Arial" w:cs="Arial"/>
          <w:sz w:val="24"/>
          <w:szCs w:val="24"/>
        </w:rPr>
        <w:t>A</w:t>
      </w:r>
      <w:r w:rsidRPr="00F45280">
        <w:rPr>
          <w:rFonts w:ascii="Arial" w:hAnsi="Arial" w:cs="Arial"/>
          <w:sz w:val="24"/>
          <w:szCs w:val="24"/>
        </w:rPr>
        <w:t xml:space="preserve">ccounting </w:t>
      </w:r>
      <w:r w:rsidR="00310572">
        <w:rPr>
          <w:rFonts w:ascii="Arial" w:hAnsi="Arial" w:cs="Arial"/>
          <w:sz w:val="24"/>
          <w:szCs w:val="24"/>
        </w:rPr>
        <w:t>O</w:t>
      </w:r>
      <w:r w:rsidRPr="00F45280">
        <w:rPr>
          <w:rFonts w:ascii="Arial" w:hAnsi="Arial" w:cs="Arial"/>
          <w:sz w:val="24"/>
          <w:szCs w:val="24"/>
        </w:rPr>
        <w:t xml:space="preserve">utcomes, and </w:t>
      </w:r>
      <w:r w:rsidR="00310572">
        <w:rPr>
          <w:rFonts w:ascii="Arial" w:hAnsi="Arial" w:cs="Arial"/>
          <w:sz w:val="24"/>
          <w:szCs w:val="24"/>
        </w:rPr>
        <w:t>O</w:t>
      </w:r>
      <w:r w:rsidRPr="00F45280">
        <w:rPr>
          <w:rFonts w:ascii="Arial" w:hAnsi="Arial" w:cs="Arial"/>
          <w:sz w:val="24"/>
          <w:szCs w:val="24"/>
        </w:rPr>
        <w:t xml:space="preserve">rganizational </w:t>
      </w:r>
      <w:r w:rsidR="00310572">
        <w:rPr>
          <w:rFonts w:ascii="Arial" w:hAnsi="Arial" w:cs="Arial"/>
          <w:sz w:val="24"/>
          <w:szCs w:val="24"/>
        </w:rPr>
        <w:t>P</w:t>
      </w:r>
      <w:r w:rsidRPr="00F45280">
        <w:rPr>
          <w:rFonts w:ascii="Arial" w:hAnsi="Arial" w:cs="Arial"/>
          <w:sz w:val="24"/>
          <w:szCs w:val="24"/>
        </w:rPr>
        <w:t xml:space="preserve">erformance. </w:t>
      </w:r>
      <w:r w:rsidRPr="00F45280">
        <w:rPr>
          <w:rFonts w:ascii="Arial" w:hAnsi="Arial" w:cs="Arial"/>
          <w:i/>
          <w:sz w:val="24"/>
          <w:szCs w:val="24"/>
        </w:rPr>
        <w:t>The Accounting Review, 82</w:t>
      </w:r>
      <w:r w:rsidRPr="00F45280">
        <w:rPr>
          <w:rFonts w:ascii="Arial" w:hAnsi="Arial" w:cs="Arial"/>
          <w:sz w:val="24"/>
          <w:szCs w:val="24"/>
        </w:rPr>
        <w:t xml:space="preserve">(4), </w:t>
      </w:r>
      <w:r w:rsidR="00F104D1">
        <w:rPr>
          <w:rFonts w:ascii="Arial" w:hAnsi="Arial" w:cs="Arial"/>
          <w:sz w:val="24"/>
          <w:szCs w:val="24"/>
        </w:rPr>
        <w:t xml:space="preserve">pp. </w:t>
      </w:r>
      <w:r w:rsidRPr="00F45280">
        <w:rPr>
          <w:rFonts w:ascii="Arial" w:hAnsi="Arial" w:cs="Arial"/>
          <w:sz w:val="24"/>
          <w:szCs w:val="24"/>
        </w:rPr>
        <w:t>963-1008.</w:t>
      </w:r>
    </w:p>
    <w:p w:rsidR="00BB33E6" w:rsidRDefault="00BB33E6" w:rsidP="00F45280">
      <w:pPr>
        <w:spacing w:line="240" w:lineRule="auto"/>
        <w:ind w:left="450" w:hanging="450"/>
        <w:jc w:val="both"/>
        <w:rPr>
          <w:rFonts w:ascii="Arial" w:hAnsi="Arial" w:cs="Arial"/>
          <w:sz w:val="24"/>
          <w:szCs w:val="24"/>
        </w:rPr>
      </w:pPr>
      <w:r>
        <w:rPr>
          <w:rFonts w:ascii="Arial" w:hAnsi="Arial" w:cs="Arial"/>
          <w:sz w:val="24"/>
          <w:szCs w:val="24"/>
        </w:rPr>
        <w:t xml:space="preserve">McNeal. A (2012). What’s Your Fraud Score? </w:t>
      </w:r>
      <w:r w:rsidRPr="00BB33E6">
        <w:rPr>
          <w:rFonts w:ascii="Arial" w:hAnsi="Arial" w:cs="Arial"/>
          <w:i/>
          <w:sz w:val="24"/>
          <w:szCs w:val="24"/>
        </w:rPr>
        <w:t>Journal of Accountancy,</w:t>
      </w:r>
      <w:r>
        <w:rPr>
          <w:rFonts w:ascii="Arial" w:hAnsi="Arial" w:cs="Arial"/>
          <w:sz w:val="24"/>
          <w:szCs w:val="24"/>
        </w:rPr>
        <w:t xml:space="preserve"> December, 2012, pp. 40-45.</w:t>
      </w:r>
    </w:p>
    <w:p w:rsidR="00DB6E75" w:rsidRDefault="00DB6E75" w:rsidP="00DB6E75">
      <w:pPr>
        <w:rPr>
          <w:rFonts w:ascii="Arial" w:hAnsi="Arial" w:cs="Arial"/>
          <w:sz w:val="24"/>
          <w:szCs w:val="24"/>
        </w:rPr>
      </w:pPr>
      <w:proofErr w:type="spellStart"/>
      <w:r>
        <w:rPr>
          <w:rFonts w:ascii="Arial" w:hAnsi="Arial" w:cs="Arial"/>
          <w:sz w:val="24"/>
          <w:szCs w:val="24"/>
        </w:rPr>
        <w:t>Novack</w:t>
      </w:r>
      <w:proofErr w:type="spellEnd"/>
      <w:r>
        <w:rPr>
          <w:rFonts w:ascii="Arial" w:hAnsi="Arial" w:cs="Arial"/>
          <w:sz w:val="24"/>
          <w:szCs w:val="24"/>
        </w:rPr>
        <w:t xml:space="preserve">, J. (2013) How SEC’s New </w:t>
      </w:r>
      <w:proofErr w:type="spellStart"/>
      <w:r>
        <w:rPr>
          <w:rFonts w:ascii="Arial" w:hAnsi="Arial" w:cs="Arial"/>
          <w:sz w:val="24"/>
          <w:szCs w:val="24"/>
        </w:rPr>
        <w:t>RoboCop</w:t>
      </w:r>
      <w:proofErr w:type="spellEnd"/>
      <w:r>
        <w:rPr>
          <w:rFonts w:ascii="Arial" w:hAnsi="Arial" w:cs="Arial"/>
          <w:sz w:val="24"/>
          <w:szCs w:val="24"/>
        </w:rPr>
        <w:t xml:space="preserve"> Profiles Companies </w:t>
      </w:r>
      <w:r w:rsidR="00310572">
        <w:rPr>
          <w:rFonts w:ascii="Arial" w:hAnsi="Arial" w:cs="Arial"/>
          <w:sz w:val="24"/>
          <w:szCs w:val="24"/>
        </w:rPr>
        <w:t>f</w:t>
      </w:r>
      <w:r>
        <w:rPr>
          <w:rFonts w:ascii="Arial" w:hAnsi="Arial" w:cs="Arial"/>
          <w:sz w:val="24"/>
          <w:szCs w:val="24"/>
        </w:rPr>
        <w:t xml:space="preserve">or Accounting Fraud. </w:t>
      </w:r>
      <w:r w:rsidRPr="00DB6E75">
        <w:rPr>
          <w:rFonts w:ascii="Arial" w:hAnsi="Arial" w:cs="Arial"/>
          <w:i/>
          <w:sz w:val="24"/>
          <w:szCs w:val="24"/>
        </w:rPr>
        <w:t>Forbes</w:t>
      </w:r>
      <w:r>
        <w:rPr>
          <w:rFonts w:ascii="Arial" w:hAnsi="Arial" w:cs="Arial"/>
          <w:sz w:val="24"/>
          <w:szCs w:val="24"/>
        </w:rPr>
        <w:t xml:space="preserve">, August 9.   </w:t>
      </w:r>
    </w:p>
    <w:p w:rsidR="00F45280" w:rsidRPr="00F45280" w:rsidRDefault="00F45280" w:rsidP="00F45280">
      <w:pPr>
        <w:spacing w:line="240" w:lineRule="auto"/>
        <w:ind w:left="450" w:hanging="450"/>
        <w:jc w:val="both"/>
        <w:rPr>
          <w:rFonts w:ascii="Arial" w:hAnsi="Arial" w:cs="Arial"/>
          <w:sz w:val="24"/>
          <w:szCs w:val="24"/>
        </w:rPr>
      </w:pPr>
      <w:proofErr w:type="spellStart"/>
      <w:r w:rsidRPr="00F45280">
        <w:rPr>
          <w:rFonts w:ascii="Arial" w:hAnsi="Arial" w:cs="Arial"/>
          <w:sz w:val="24"/>
          <w:szCs w:val="24"/>
        </w:rPr>
        <w:t>Pathan</w:t>
      </w:r>
      <w:proofErr w:type="spellEnd"/>
      <w:r w:rsidRPr="00F45280">
        <w:rPr>
          <w:rFonts w:ascii="Arial" w:hAnsi="Arial" w:cs="Arial"/>
          <w:sz w:val="24"/>
          <w:szCs w:val="24"/>
        </w:rPr>
        <w:t xml:space="preserve">, S. (2009). Strong </w:t>
      </w:r>
      <w:r w:rsidR="00310572">
        <w:rPr>
          <w:rFonts w:ascii="Arial" w:hAnsi="Arial" w:cs="Arial"/>
          <w:sz w:val="24"/>
          <w:szCs w:val="24"/>
        </w:rPr>
        <w:t>B</w:t>
      </w:r>
      <w:r w:rsidRPr="00F45280">
        <w:rPr>
          <w:rFonts w:ascii="Arial" w:hAnsi="Arial" w:cs="Arial"/>
          <w:sz w:val="24"/>
          <w:szCs w:val="24"/>
        </w:rPr>
        <w:t xml:space="preserve">oards, CEO </w:t>
      </w:r>
      <w:r w:rsidR="00310572">
        <w:rPr>
          <w:rFonts w:ascii="Arial" w:hAnsi="Arial" w:cs="Arial"/>
          <w:sz w:val="24"/>
          <w:szCs w:val="24"/>
        </w:rPr>
        <w:t>P</w:t>
      </w:r>
      <w:r w:rsidRPr="00F45280">
        <w:rPr>
          <w:rFonts w:ascii="Arial" w:hAnsi="Arial" w:cs="Arial"/>
          <w:sz w:val="24"/>
          <w:szCs w:val="24"/>
        </w:rPr>
        <w:t xml:space="preserve">ower and </w:t>
      </w:r>
      <w:r w:rsidR="00310572">
        <w:rPr>
          <w:rFonts w:ascii="Arial" w:hAnsi="Arial" w:cs="Arial"/>
          <w:sz w:val="24"/>
          <w:szCs w:val="24"/>
        </w:rPr>
        <w:t>B</w:t>
      </w:r>
      <w:r w:rsidRPr="00F45280">
        <w:rPr>
          <w:rFonts w:ascii="Arial" w:hAnsi="Arial" w:cs="Arial"/>
          <w:sz w:val="24"/>
          <w:szCs w:val="24"/>
        </w:rPr>
        <w:t xml:space="preserve">ank </w:t>
      </w:r>
      <w:r w:rsidR="00310572">
        <w:rPr>
          <w:rFonts w:ascii="Arial" w:hAnsi="Arial" w:cs="Arial"/>
          <w:sz w:val="24"/>
          <w:szCs w:val="24"/>
        </w:rPr>
        <w:t>R</w:t>
      </w:r>
      <w:r w:rsidRPr="00F45280">
        <w:rPr>
          <w:rFonts w:ascii="Arial" w:hAnsi="Arial" w:cs="Arial"/>
          <w:sz w:val="24"/>
          <w:szCs w:val="24"/>
        </w:rPr>
        <w:t>isk-</w:t>
      </w:r>
      <w:r w:rsidR="00310572">
        <w:rPr>
          <w:rFonts w:ascii="Arial" w:hAnsi="Arial" w:cs="Arial"/>
          <w:sz w:val="24"/>
          <w:szCs w:val="24"/>
        </w:rPr>
        <w:t>T</w:t>
      </w:r>
      <w:r w:rsidRPr="00F45280">
        <w:rPr>
          <w:rFonts w:ascii="Arial" w:hAnsi="Arial" w:cs="Arial"/>
          <w:sz w:val="24"/>
          <w:szCs w:val="24"/>
        </w:rPr>
        <w:t xml:space="preserve">aking. </w:t>
      </w:r>
      <w:r w:rsidRPr="00F45280">
        <w:rPr>
          <w:rFonts w:ascii="Arial" w:hAnsi="Arial" w:cs="Arial"/>
          <w:i/>
          <w:sz w:val="24"/>
          <w:szCs w:val="24"/>
        </w:rPr>
        <w:t>Journal of Banking &amp; Finance</w:t>
      </w:r>
      <w:r w:rsidRPr="00F45280">
        <w:rPr>
          <w:rFonts w:ascii="Arial" w:hAnsi="Arial" w:cs="Arial"/>
          <w:sz w:val="24"/>
          <w:szCs w:val="24"/>
        </w:rPr>
        <w:t xml:space="preserve">, 33, </w:t>
      </w:r>
      <w:r w:rsidR="00F104D1">
        <w:rPr>
          <w:rFonts w:ascii="Arial" w:hAnsi="Arial" w:cs="Arial"/>
          <w:sz w:val="24"/>
          <w:szCs w:val="24"/>
        </w:rPr>
        <w:t xml:space="preserve">pp. </w:t>
      </w:r>
      <w:r w:rsidRPr="00F45280">
        <w:rPr>
          <w:rFonts w:ascii="Arial" w:hAnsi="Arial" w:cs="Arial"/>
          <w:sz w:val="24"/>
          <w:szCs w:val="24"/>
        </w:rPr>
        <w:t>1340-1350.</w:t>
      </w:r>
    </w:p>
    <w:p w:rsidR="005F58E4" w:rsidRDefault="005F58E4" w:rsidP="005F58E4">
      <w:pPr>
        <w:widowControl w:val="0"/>
        <w:autoSpaceDE w:val="0"/>
        <w:autoSpaceDN w:val="0"/>
        <w:adjustRightInd w:val="0"/>
        <w:spacing w:line="240" w:lineRule="auto"/>
        <w:rPr>
          <w:rFonts w:ascii="Arial" w:hAnsi="Arial" w:cs="Arial"/>
          <w:sz w:val="24"/>
          <w:szCs w:val="24"/>
        </w:rPr>
      </w:pPr>
      <w:r w:rsidRPr="002A1498">
        <w:rPr>
          <w:rFonts w:ascii="Arial" w:hAnsi="Arial" w:cs="Arial"/>
          <w:sz w:val="24"/>
          <w:szCs w:val="24"/>
        </w:rPr>
        <w:t>Report of the New York Stock Exchange Commission on Corporate Governance</w:t>
      </w:r>
      <w:r w:rsidR="00F104D1">
        <w:rPr>
          <w:rFonts w:ascii="Arial" w:hAnsi="Arial" w:cs="Arial"/>
          <w:sz w:val="24"/>
          <w:szCs w:val="24"/>
        </w:rPr>
        <w:t>. (2010)</w:t>
      </w:r>
      <w:r w:rsidRPr="002A1498">
        <w:rPr>
          <w:rFonts w:ascii="Arial" w:hAnsi="Arial" w:cs="Arial"/>
          <w:sz w:val="24"/>
          <w:szCs w:val="24"/>
        </w:rPr>
        <w:t xml:space="preserve"> September 23.</w:t>
      </w:r>
    </w:p>
    <w:p w:rsidR="00234FCF" w:rsidRPr="002A1498" w:rsidRDefault="00234FCF" w:rsidP="00234FCF">
      <w:pPr>
        <w:widowControl w:val="0"/>
        <w:autoSpaceDE w:val="0"/>
        <w:autoSpaceDN w:val="0"/>
        <w:adjustRightInd w:val="0"/>
        <w:spacing w:line="240" w:lineRule="auto"/>
        <w:rPr>
          <w:rFonts w:ascii="Arial" w:hAnsi="Arial" w:cs="Arial"/>
          <w:sz w:val="24"/>
          <w:szCs w:val="24"/>
        </w:rPr>
      </w:pPr>
      <w:r>
        <w:rPr>
          <w:rFonts w:ascii="Arial" w:hAnsi="Arial" w:cs="Arial"/>
          <w:sz w:val="24"/>
          <w:szCs w:val="24"/>
        </w:rPr>
        <w:t xml:space="preserve">The Fog Index and Readability Formulas. (2013) </w:t>
      </w:r>
      <w:r w:rsidRPr="00BB33E6">
        <w:rPr>
          <w:rFonts w:ascii="Arial" w:hAnsi="Arial" w:cs="Arial"/>
          <w:i/>
          <w:sz w:val="24"/>
          <w:szCs w:val="24"/>
        </w:rPr>
        <w:t>klariti.com/business-writing</w:t>
      </w:r>
      <w:r>
        <w:rPr>
          <w:rFonts w:ascii="Arial" w:hAnsi="Arial" w:cs="Arial"/>
          <w:sz w:val="24"/>
          <w:szCs w:val="24"/>
        </w:rPr>
        <w:t>.</w:t>
      </w:r>
    </w:p>
    <w:p w:rsidR="00F45280" w:rsidRDefault="00F45280" w:rsidP="00F45280">
      <w:pPr>
        <w:spacing w:line="240" w:lineRule="auto"/>
        <w:ind w:left="450" w:hanging="450"/>
        <w:jc w:val="both"/>
        <w:rPr>
          <w:rFonts w:ascii="Arial" w:hAnsi="Arial" w:cs="Arial"/>
          <w:sz w:val="24"/>
          <w:szCs w:val="24"/>
        </w:rPr>
      </w:pPr>
      <w:r w:rsidRPr="00F45280">
        <w:rPr>
          <w:rFonts w:ascii="Arial" w:hAnsi="Arial" w:cs="Arial"/>
          <w:sz w:val="24"/>
          <w:szCs w:val="24"/>
        </w:rPr>
        <w:t xml:space="preserve">Victoravich, L., Grove, H., Xu, P. &amp; </w:t>
      </w:r>
      <w:proofErr w:type="spellStart"/>
      <w:r w:rsidRPr="00F45280">
        <w:rPr>
          <w:rFonts w:ascii="Arial" w:hAnsi="Arial" w:cs="Arial"/>
          <w:sz w:val="24"/>
          <w:szCs w:val="24"/>
        </w:rPr>
        <w:t>Bulepp</w:t>
      </w:r>
      <w:proofErr w:type="spellEnd"/>
      <w:r w:rsidRPr="00F45280">
        <w:rPr>
          <w:rFonts w:ascii="Arial" w:hAnsi="Arial" w:cs="Arial"/>
          <w:sz w:val="24"/>
          <w:szCs w:val="24"/>
        </w:rPr>
        <w:t xml:space="preserve">, </w:t>
      </w:r>
      <w:r w:rsidR="00F104D1">
        <w:rPr>
          <w:rFonts w:ascii="Arial" w:hAnsi="Arial" w:cs="Arial"/>
          <w:sz w:val="24"/>
          <w:szCs w:val="24"/>
        </w:rPr>
        <w:t xml:space="preserve">B. </w:t>
      </w:r>
      <w:r w:rsidRPr="00F45280">
        <w:rPr>
          <w:rFonts w:ascii="Arial" w:hAnsi="Arial" w:cs="Arial"/>
          <w:sz w:val="24"/>
          <w:szCs w:val="24"/>
        </w:rPr>
        <w:t xml:space="preserve">(2011). CEO Power, Equity Incentives, and Bank Risk Taking. </w:t>
      </w:r>
      <w:r w:rsidRPr="00F45280">
        <w:rPr>
          <w:rFonts w:ascii="Arial" w:hAnsi="Arial" w:cs="Arial"/>
          <w:i/>
          <w:sz w:val="24"/>
          <w:szCs w:val="24"/>
        </w:rPr>
        <w:t>Banking &amp; Finance Review</w:t>
      </w:r>
      <w:r w:rsidRPr="00F45280">
        <w:rPr>
          <w:rFonts w:ascii="Arial" w:hAnsi="Arial" w:cs="Arial"/>
          <w:sz w:val="24"/>
          <w:szCs w:val="24"/>
        </w:rPr>
        <w:t xml:space="preserve">, 3(2), </w:t>
      </w:r>
      <w:r w:rsidR="00F104D1">
        <w:rPr>
          <w:rFonts w:ascii="Arial" w:hAnsi="Arial" w:cs="Arial"/>
          <w:sz w:val="24"/>
          <w:szCs w:val="24"/>
        </w:rPr>
        <w:t xml:space="preserve">pp. </w:t>
      </w:r>
      <w:r w:rsidRPr="00F45280">
        <w:rPr>
          <w:rFonts w:ascii="Arial" w:hAnsi="Arial" w:cs="Arial"/>
          <w:sz w:val="24"/>
          <w:szCs w:val="24"/>
        </w:rPr>
        <w:t>105-120.</w:t>
      </w:r>
    </w:p>
    <w:p w:rsidR="00DB6E75" w:rsidRDefault="00DB6E75" w:rsidP="00F45280">
      <w:pPr>
        <w:spacing w:line="240" w:lineRule="auto"/>
        <w:ind w:left="450" w:hanging="450"/>
        <w:jc w:val="both"/>
        <w:rPr>
          <w:rFonts w:ascii="Arial" w:hAnsi="Arial" w:cs="Arial"/>
          <w:sz w:val="24"/>
          <w:szCs w:val="24"/>
        </w:rPr>
      </w:pPr>
      <w:r>
        <w:rPr>
          <w:rFonts w:ascii="Arial" w:hAnsi="Arial" w:cs="Arial"/>
          <w:sz w:val="24"/>
          <w:szCs w:val="24"/>
        </w:rPr>
        <w:t xml:space="preserve">Wood, T. (2013). Senior Gold Equities Strain to Match 2008 Highs. </w:t>
      </w:r>
      <w:r w:rsidRPr="00DB6E75">
        <w:rPr>
          <w:rFonts w:ascii="Arial" w:hAnsi="Arial" w:cs="Arial"/>
          <w:i/>
          <w:sz w:val="24"/>
          <w:szCs w:val="24"/>
        </w:rPr>
        <w:t>Mine Fund,</w:t>
      </w:r>
      <w:r>
        <w:rPr>
          <w:rFonts w:ascii="Arial" w:hAnsi="Arial" w:cs="Arial"/>
          <w:sz w:val="24"/>
          <w:szCs w:val="24"/>
        </w:rPr>
        <w:t xml:space="preserve"> September 23.</w:t>
      </w:r>
    </w:p>
    <w:p w:rsidR="002A1498" w:rsidRPr="00F45280" w:rsidRDefault="002A1498" w:rsidP="00F45280">
      <w:pPr>
        <w:spacing w:line="240" w:lineRule="auto"/>
        <w:ind w:left="450" w:hanging="450"/>
        <w:jc w:val="both"/>
        <w:rPr>
          <w:rFonts w:ascii="Arial" w:hAnsi="Arial" w:cs="Arial"/>
          <w:sz w:val="24"/>
          <w:szCs w:val="24"/>
        </w:rPr>
      </w:pPr>
    </w:p>
    <w:p w:rsidR="00F45280" w:rsidRPr="002A1498" w:rsidRDefault="00F45280" w:rsidP="002A1498">
      <w:pPr>
        <w:spacing w:line="240" w:lineRule="auto"/>
        <w:ind w:left="450" w:hanging="450"/>
        <w:jc w:val="both"/>
        <w:rPr>
          <w:rFonts w:ascii="Arial" w:hAnsi="Arial" w:cs="Arial"/>
          <w:sz w:val="24"/>
          <w:szCs w:val="24"/>
        </w:rPr>
      </w:pPr>
    </w:p>
    <w:p w:rsidR="00841B21" w:rsidRPr="00841B21" w:rsidRDefault="00841B21" w:rsidP="00841B21">
      <w:pPr>
        <w:rPr>
          <w:rFonts w:ascii="Arial" w:hAnsi="Arial" w:cs="Arial"/>
          <w:b/>
          <w:sz w:val="24"/>
          <w:szCs w:val="24"/>
        </w:rPr>
      </w:pPr>
    </w:p>
    <w:sectPr w:rsidR="00841B21" w:rsidRPr="00841B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DB" w:rsidRDefault="000820DB" w:rsidP="00CF1631">
      <w:pPr>
        <w:spacing w:after="0" w:line="240" w:lineRule="auto"/>
      </w:pPr>
      <w:r>
        <w:separator/>
      </w:r>
    </w:p>
  </w:endnote>
  <w:endnote w:type="continuationSeparator" w:id="0">
    <w:p w:rsidR="000820DB" w:rsidRDefault="000820DB" w:rsidP="00CF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72" w:rsidRDefault="00890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761676"/>
      <w:docPartObj>
        <w:docPartGallery w:val="Page Numbers (Bottom of Page)"/>
        <w:docPartUnique/>
      </w:docPartObj>
    </w:sdtPr>
    <w:sdtEndPr>
      <w:rPr>
        <w:noProof/>
      </w:rPr>
    </w:sdtEndPr>
    <w:sdtContent>
      <w:p w:rsidR="00890472" w:rsidRDefault="00890472">
        <w:pPr>
          <w:pStyle w:val="Footer"/>
          <w:jc w:val="right"/>
        </w:pPr>
        <w:r>
          <w:fldChar w:fldCharType="begin"/>
        </w:r>
        <w:r>
          <w:instrText xml:space="preserve"> PAGE   \* MERGEFORMAT </w:instrText>
        </w:r>
        <w:r>
          <w:fldChar w:fldCharType="separate"/>
        </w:r>
        <w:r w:rsidR="0091013D">
          <w:rPr>
            <w:noProof/>
          </w:rPr>
          <w:t>10</w:t>
        </w:r>
        <w:r>
          <w:rPr>
            <w:noProof/>
          </w:rPr>
          <w:fldChar w:fldCharType="end"/>
        </w:r>
      </w:p>
    </w:sdtContent>
  </w:sdt>
  <w:p w:rsidR="00890472" w:rsidRDefault="00890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72" w:rsidRDefault="00890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DB" w:rsidRDefault="000820DB" w:rsidP="00CF1631">
      <w:pPr>
        <w:spacing w:after="0" w:line="240" w:lineRule="auto"/>
      </w:pPr>
      <w:r>
        <w:separator/>
      </w:r>
    </w:p>
  </w:footnote>
  <w:footnote w:type="continuationSeparator" w:id="0">
    <w:p w:rsidR="000820DB" w:rsidRDefault="000820DB" w:rsidP="00CF1631">
      <w:pPr>
        <w:spacing w:after="0" w:line="240" w:lineRule="auto"/>
      </w:pPr>
      <w:r>
        <w:continuationSeparator/>
      </w:r>
    </w:p>
  </w:footnote>
  <w:footnote w:id="1">
    <w:p w:rsidR="00890472" w:rsidRDefault="00890472" w:rsidP="00035E07">
      <w:pPr>
        <w:pStyle w:val="FootnoteText"/>
      </w:pPr>
      <w:r>
        <w:rPr>
          <w:rStyle w:val="FootnoteReference"/>
        </w:rPr>
        <w:footnoteRef/>
      </w:r>
      <w:r>
        <w:t xml:space="preserve"> With a press release on September 1, 2009 NYSE announced the establishment of a </w:t>
      </w:r>
      <w:r w:rsidRPr="00CB5465">
        <w:t>Commission on Corporate Governance</w:t>
      </w:r>
      <w:r>
        <w:t xml:space="preserve"> which </w:t>
      </w:r>
      <w:r w:rsidRPr="00CB5465">
        <w:t xml:space="preserve">is </w:t>
      </w:r>
      <w:r>
        <w:t>“</w:t>
      </w:r>
      <w:r w:rsidRPr="00CB5465">
        <w:t>an independent advisory commission to examine U.S. corporate governance and the overall proxy process. This advisory commission will take a comprehensive look at strengthening U.S. best practices for corporate g</w:t>
      </w:r>
      <w:r>
        <w:t xml:space="preserve">overnance and the proxy process”.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72" w:rsidRDefault="00890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72" w:rsidRDefault="008904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72" w:rsidRDefault="00890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55512"/>
    <w:multiLevelType w:val="hybridMultilevel"/>
    <w:tmpl w:val="C202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18C0"/>
    <w:multiLevelType w:val="hybridMultilevel"/>
    <w:tmpl w:val="6E7E50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C7B6B56"/>
    <w:multiLevelType w:val="hybridMultilevel"/>
    <w:tmpl w:val="2B26D9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D616569"/>
    <w:multiLevelType w:val="hybridMultilevel"/>
    <w:tmpl w:val="6D46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264BD"/>
    <w:multiLevelType w:val="hybridMultilevel"/>
    <w:tmpl w:val="8E2A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9015C"/>
    <w:multiLevelType w:val="hybridMultilevel"/>
    <w:tmpl w:val="AECA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2941AD"/>
    <w:multiLevelType w:val="hybridMultilevel"/>
    <w:tmpl w:val="95C6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31"/>
    <w:rsid w:val="00035E07"/>
    <w:rsid w:val="00073F4A"/>
    <w:rsid w:val="000820DB"/>
    <w:rsid w:val="000B62EE"/>
    <w:rsid w:val="000E68F7"/>
    <w:rsid w:val="00155105"/>
    <w:rsid w:val="001A637D"/>
    <w:rsid w:val="001C7D5E"/>
    <w:rsid w:val="001C7F4E"/>
    <w:rsid w:val="001F3A7D"/>
    <w:rsid w:val="00234FCF"/>
    <w:rsid w:val="002730FB"/>
    <w:rsid w:val="002A1498"/>
    <w:rsid w:val="002F2EF9"/>
    <w:rsid w:val="0030011B"/>
    <w:rsid w:val="00310572"/>
    <w:rsid w:val="00360B6D"/>
    <w:rsid w:val="003F0F72"/>
    <w:rsid w:val="0044168B"/>
    <w:rsid w:val="00443DAC"/>
    <w:rsid w:val="00483267"/>
    <w:rsid w:val="00491EFC"/>
    <w:rsid w:val="00495576"/>
    <w:rsid w:val="004D148E"/>
    <w:rsid w:val="004D5EC3"/>
    <w:rsid w:val="005F58E4"/>
    <w:rsid w:val="005F5A89"/>
    <w:rsid w:val="00656BF1"/>
    <w:rsid w:val="006B2736"/>
    <w:rsid w:val="00790710"/>
    <w:rsid w:val="007B3201"/>
    <w:rsid w:val="007D1501"/>
    <w:rsid w:val="00841B21"/>
    <w:rsid w:val="00890472"/>
    <w:rsid w:val="008D608C"/>
    <w:rsid w:val="008F142B"/>
    <w:rsid w:val="0091013D"/>
    <w:rsid w:val="00915191"/>
    <w:rsid w:val="0093361B"/>
    <w:rsid w:val="009540FF"/>
    <w:rsid w:val="00967E32"/>
    <w:rsid w:val="00995F17"/>
    <w:rsid w:val="009966B5"/>
    <w:rsid w:val="009A5D6E"/>
    <w:rsid w:val="00A471C8"/>
    <w:rsid w:val="00A56587"/>
    <w:rsid w:val="00B121D6"/>
    <w:rsid w:val="00B23E6B"/>
    <w:rsid w:val="00B35501"/>
    <w:rsid w:val="00B5628E"/>
    <w:rsid w:val="00B658B8"/>
    <w:rsid w:val="00B7238F"/>
    <w:rsid w:val="00B9333F"/>
    <w:rsid w:val="00BB33E6"/>
    <w:rsid w:val="00BF19B7"/>
    <w:rsid w:val="00BF618A"/>
    <w:rsid w:val="00C11376"/>
    <w:rsid w:val="00C13E83"/>
    <w:rsid w:val="00C15432"/>
    <w:rsid w:val="00C71119"/>
    <w:rsid w:val="00CF1631"/>
    <w:rsid w:val="00DA6C49"/>
    <w:rsid w:val="00DB6E75"/>
    <w:rsid w:val="00DC1AD0"/>
    <w:rsid w:val="00DE5881"/>
    <w:rsid w:val="00EF33CA"/>
    <w:rsid w:val="00F104D1"/>
    <w:rsid w:val="00F25D9F"/>
    <w:rsid w:val="00F270C6"/>
    <w:rsid w:val="00F45280"/>
    <w:rsid w:val="00F46E82"/>
    <w:rsid w:val="00F93959"/>
    <w:rsid w:val="00F97510"/>
    <w:rsid w:val="00FB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BD728-4821-4A66-91CD-ED080A4F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631"/>
  </w:style>
  <w:style w:type="paragraph" w:styleId="Footer">
    <w:name w:val="footer"/>
    <w:basedOn w:val="Normal"/>
    <w:link w:val="FooterChar"/>
    <w:uiPriority w:val="99"/>
    <w:unhideWhenUsed/>
    <w:rsid w:val="00CF1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631"/>
  </w:style>
  <w:style w:type="paragraph" w:styleId="ListParagraph">
    <w:name w:val="List Paragraph"/>
    <w:basedOn w:val="Normal"/>
    <w:uiPriority w:val="34"/>
    <w:qFormat/>
    <w:rsid w:val="001C7F4E"/>
    <w:pPr>
      <w:ind w:left="720"/>
      <w:contextualSpacing/>
    </w:pPr>
  </w:style>
  <w:style w:type="paragraph" w:styleId="BalloonText">
    <w:name w:val="Balloon Text"/>
    <w:basedOn w:val="Normal"/>
    <w:link w:val="BalloonTextChar"/>
    <w:uiPriority w:val="99"/>
    <w:semiHidden/>
    <w:unhideWhenUsed/>
    <w:rsid w:val="00155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05"/>
    <w:rPr>
      <w:rFonts w:ascii="Segoe UI" w:hAnsi="Segoe UI" w:cs="Segoe UI"/>
      <w:sz w:val="18"/>
      <w:szCs w:val="18"/>
    </w:rPr>
  </w:style>
  <w:style w:type="character" w:styleId="Hyperlink">
    <w:name w:val="Hyperlink"/>
    <w:basedOn w:val="DefaultParagraphFont"/>
    <w:uiPriority w:val="99"/>
    <w:unhideWhenUsed/>
    <w:rsid w:val="00F45280"/>
    <w:rPr>
      <w:color w:val="0563C1" w:themeColor="hyperlink"/>
      <w:u w:val="single"/>
    </w:rPr>
  </w:style>
  <w:style w:type="paragraph" w:styleId="FootnoteText">
    <w:name w:val="footnote text"/>
    <w:basedOn w:val="Normal"/>
    <w:link w:val="FootnoteTextChar"/>
    <w:rsid w:val="00035E0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35E07"/>
    <w:rPr>
      <w:rFonts w:ascii="Times New Roman" w:eastAsia="Times New Roman" w:hAnsi="Times New Roman" w:cs="Times New Roman"/>
      <w:sz w:val="20"/>
      <w:szCs w:val="20"/>
    </w:rPr>
  </w:style>
  <w:style w:type="character" w:styleId="FootnoteReference">
    <w:name w:val="footnote reference"/>
    <w:rsid w:val="00035E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929">
      <w:bodyDiv w:val="1"/>
      <w:marLeft w:val="0"/>
      <w:marRight w:val="0"/>
      <w:marTop w:val="0"/>
      <w:marBottom w:val="0"/>
      <w:divBdr>
        <w:top w:val="none" w:sz="0" w:space="0" w:color="auto"/>
        <w:left w:val="none" w:sz="0" w:space="0" w:color="auto"/>
        <w:bottom w:val="none" w:sz="0" w:space="0" w:color="auto"/>
        <w:right w:val="none" w:sz="0" w:space="0" w:color="auto"/>
      </w:divBdr>
    </w:div>
    <w:div w:id="99226408">
      <w:bodyDiv w:val="1"/>
      <w:marLeft w:val="0"/>
      <w:marRight w:val="0"/>
      <w:marTop w:val="0"/>
      <w:marBottom w:val="0"/>
      <w:divBdr>
        <w:top w:val="none" w:sz="0" w:space="0" w:color="auto"/>
        <w:left w:val="none" w:sz="0" w:space="0" w:color="auto"/>
        <w:bottom w:val="none" w:sz="0" w:space="0" w:color="auto"/>
        <w:right w:val="none" w:sz="0" w:space="0" w:color="auto"/>
      </w:divBdr>
    </w:div>
    <w:div w:id="110394516">
      <w:bodyDiv w:val="1"/>
      <w:marLeft w:val="0"/>
      <w:marRight w:val="0"/>
      <w:marTop w:val="0"/>
      <w:marBottom w:val="0"/>
      <w:divBdr>
        <w:top w:val="none" w:sz="0" w:space="0" w:color="auto"/>
        <w:left w:val="none" w:sz="0" w:space="0" w:color="auto"/>
        <w:bottom w:val="none" w:sz="0" w:space="0" w:color="auto"/>
        <w:right w:val="none" w:sz="0" w:space="0" w:color="auto"/>
      </w:divBdr>
    </w:div>
    <w:div w:id="125970813">
      <w:bodyDiv w:val="1"/>
      <w:marLeft w:val="0"/>
      <w:marRight w:val="0"/>
      <w:marTop w:val="0"/>
      <w:marBottom w:val="0"/>
      <w:divBdr>
        <w:top w:val="none" w:sz="0" w:space="0" w:color="auto"/>
        <w:left w:val="none" w:sz="0" w:space="0" w:color="auto"/>
        <w:bottom w:val="none" w:sz="0" w:space="0" w:color="auto"/>
        <w:right w:val="none" w:sz="0" w:space="0" w:color="auto"/>
      </w:divBdr>
    </w:div>
    <w:div w:id="310064920">
      <w:bodyDiv w:val="1"/>
      <w:marLeft w:val="0"/>
      <w:marRight w:val="0"/>
      <w:marTop w:val="0"/>
      <w:marBottom w:val="0"/>
      <w:divBdr>
        <w:top w:val="none" w:sz="0" w:space="0" w:color="auto"/>
        <w:left w:val="none" w:sz="0" w:space="0" w:color="auto"/>
        <w:bottom w:val="none" w:sz="0" w:space="0" w:color="auto"/>
        <w:right w:val="none" w:sz="0" w:space="0" w:color="auto"/>
      </w:divBdr>
    </w:div>
    <w:div w:id="491944425">
      <w:bodyDiv w:val="1"/>
      <w:marLeft w:val="0"/>
      <w:marRight w:val="0"/>
      <w:marTop w:val="0"/>
      <w:marBottom w:val="0"/>
      <w:divBdr>
        <w:top w:val="none" w:sz="0" w:space="0" w:color="auto"/>
        <w:left w:val="none" w:sz="0" w:space="0" w:color="auto"/>
        <w:bottom w:val="none" w:sz="0" w:space="0" w:color="auto"/>
        <w:right w:val="none" w:sz="0" w:space="0" w:color="auto"/>
      </w:divBdr>
    </w:div>
    <w:div w:id="527255452">
      <w:bodyDiv w:val="1"/>
      <w:marLeft w:val="0"/>
      <w:marRight w:val="0"/>
      <w:marTop w:val="0"/>
      <w:marBottom w:val="0"/>
      <w:divBdr>
        <w:top w:val="none" w:sz="0" w:space="0" w:color="auto"/>
        <w:left w:val="none" w:sz="0" w:space="0" w:color="auto"/>
        <w:bottom w:val="none" w:sz="0" w:space="0" w:color="auto"/>
        <w:right w:val="none" w:sz="0" w:space="0" w:color="auto"/>
      </w:divBdr>
    </w:div>
    <w:div w:id="555435001">
      <w:bodyDiv w:val="1"/>
      <w:marLeft w:val="0"/>
      <w:marRight w:val="0"/>
      <w:marTop w:val="0"/>
      <w:marBottom w:val="0"/>
      <w:divBdr>
        <w:top w:val="none" w:sz="0" w:space="0" w:color="auto"/>
        <w:left w:val="none" w:sz="0" w:space="0" w:color="auto"/>
        <w:bottom w:val="none" w:sz="0" w:space="0" w:color="auto"/>
        <w:right w:val="none" w:sz="0" w:space="0" w:color="auto"/>
      </w:divBdr>
    </w:div>
    <w:div w:id="676035155">
      <w:bodyDiv w:val="1"/>
      <w:marLeft w:val="0"/>
      <w:marRight w:val="0"/>
      <w:marTop w:val="0"/>
      <w:marBottom w:val="0"/>
      <w:divBdr>
        <w:top w:val="none" w:sz="0" w:space="0" w:color="auto"/>
        <w:left w:val="none" w:sz="0" w:space="0" w:color="auto"/>
        <w:bottom w:val="none" w:sz="0" w:space="0" w:color="auto"/>
        <w:right w:val="none" w:sz="0" w:space="0" w:color="auto"/>
      </w:divBdr>
    </w:div>
    <w:div w:id="884416809">
      <w:bodyDiv w:val="1"/>
      <w:marLeft w:val="0"/>
      <w:marRight w:val="0"/>
      <w:marTop w:val="0"/>
      <w:marBottom w:val="0"/>
      <w:divBdr>
        <w:top w:val="none" w:sz="0" w:space="0" w:color="auto"/>
        <w:left w:val="none" w:sz="0" w:space="0" w:color="auto"/>
        <w:bottom w:val="none" w:sz="0" w:space="0" w:color="auto"/>
        <w:right w:val="none" w:sz="0" w:space="0" w:color="auto"/>
      </w:divBdr>
    </w:div>
    <w:div w:id="1037195758">
      <w:bodyDiv w:val="1"/>
      <w:marLeft w:val="0"/>
      <w:marRight w:val="0"/>
      <w:marTop w:val="0"/>
      <w:marBottom w:val="0"/>
      <w:divBdr>
        <w:top w:val="none" w:sz="0" w:space="0" w:color="auto"/>
        <w:left w:val="none" w:sz="0" w:space="0" w:color="auto"/>
        <w:bottom w:val="none" w:sz="0" w:space="0" w:color="auto"/>
        <w:right w:val="none" w:sz="0" w:space="0" w:color="auto"/>
      </w:divBdr>
    </w:div>
    <w:div w:id="1212956274">
      <w:bodyDiv w:val="1"/>
      <w:marLeft w:val="0"/>
      <w:marRight w:val="0"/>
      <w:marTop w:val="0"/>
      <w:marBottom w:val="0"/>
      <w:divBdr>
        <w:top w:val="none" w:sz="0" w:space="0" w:color="auto"/>
        <w:left w:val="none" w:sz="0" w:space="0" w:color="auto"/>
        <w:bottom w:val="none" w:sz="0" w:space="0" w:color="auto"/>
        <w:right w:val="none" w:sz="0" w:space="0" w:color="auto"/>
      </w:divBdr>
    </w:div>
    <w:div w:id="1281187734">
      <w:bodyDiv w:val="1"/>
      <w:marLeft w:val="0"/>
      <w:marRight w:val="0"/>
      <w:marTop w:val="0"/>
      <w:marBottom w:val="0"/>
      <w:divBdr>
        <w:top w:val="none" w:sz="0" w:space="0" w:color="auto"/>
        <w:left w:val="none" w:sz="0" w:space="0" w:color="auto"/>
        <w:bottom w:val="none" w:sz="0" w:space="0" w:color="auto"/>
        <w:right w:val="none" w:sz="0" w:space="0" w:color="auto"/>
      </w:divBdr>
    </w:div>
    <w:div w:id="1287932442">
      <w:bodyDiv w:val="1"/>
      <w:marLeft w:val="0"/>
      <w:marRight w:val="0"/>
      <w:marTop w:val="0"/>
      <w:marBottom w:val="0"/>
      <w:divBdr>
        <w:top w:val="none" w:sz="0" w:space="0" w:color="auto"/>
        <w:left w:val="none" w:sz="0" w:space="0" w:color="auto"/>
        <w:bottom w:val="none" w:sz="0" w:space="0" w:color="auto"/>
        <w:right w:val="none" w:sz="0" w:space="0" w:color="auto"/>
      </w:divBdr>
    </w:div>
    <w:div w:id="1412041464">
      <w:bodyDiv w:val="1"/>
      <w:marLeft w:val="0"/>
      <w:marRight w:val="0"/>
      <w:marTop w:val="0"/>
      <w:marBottom w:val="0"/>
      <w:divBdr>
        <w:top w:val="none" w:sz="0" w:space="0" w:color="auto"/>
        <w:left w:val="none" w:sz="0" w:space="0" w:color="auto"/>
        <w:bottom w:val="none" w:sz="0" w:space="0" w:color="auto"/>
        <w:right w:val="none" w:sz="0" w:space="0" w:color="auto"/>
      </w:divBdr>
    </w:div>
    <w:div w:id="1436368570">
      <w:bodyDiv w:val="1"/>
      <w:marLeft w:val="0"/>
      <w:marRight w:val="0"/>
      <w:marTop w:val="0"/>
      <w:marBottom w:val="0"/>
      <w:divBdr>
        <w:top w:val="none" w:sz="0" w:space="0" w:color="auto"/>
        <w:left w:val="none" w:sz="0" w:space="0" w:color="auto"/>
        <w:bottom w:val="none" w:sz="0" w:space="0" w:color="auto"/>
        <w:right w:val="none" w:sz="0" w:space="0" w:color="auto"/>
      </w:divBdr>
    </w:div>
    <w:div w:id="1751345115">
      <w:bodyDiv w:val="1"/>
      <w:marLeft w:val="0"/>
      <w:marRight w:val="0"/>
      <w:marTop w:val="0"/>
      <w:marBottom w:val="0"/>
      <w:divBdr>
        <w:top w:val="none" w:sz="0" w:space="0" w:color="auto"/>
        <w:left w:val="none" w:sz="0" w:space="0" w:color="auto"/>
        <w:bottom w:val="none" w:sz="0" w:space="0" w:color="auto"/>
        <w:right w:val="none" w:sz="0" w:space="0" w:color="auto"/>
      </w:divBdr>
    </w:div>
    <w:div w:id="1826359487">
      <w:bodyDiv w:val="1"/>
      <w:marLeft w:val="0"/>
      <w:marRight w:val="0"/>
      <w:marTop w:val="0"/>
      <w:marBottom w:val="0"/>
      <w:divBdr>
        <w:top w:val="none" w:sz="0" w:space="0" w:color="auto"/>
        <w:left w:val="none" w:sz="0" w:space="0" w:color="auto"/>
        <w:bottom w:val="none" w:sz="0" w:space="0" w:color="auto"/>
        <w:right w:val="none" w:sz="0" w:space="0" w:color="auto"/>
      </w:divBdr>
    </w:div>
    <w:div w:id="1941840184">
      <w:bodyDiv w:val="1"/>
      <w:marLeft w:val="0"/>
      <w:marRight w:val="0"/>
      <w:marTop w:val="0"/>
      <w:marBottom w:val="0"/>
      <w:divBdr>
        <w:top w:val="none" w:sz="0" w:space="0" w:color="auto"/>
        <w:left w:val="none" w:sz="0" w:space="0" w:color="auto"/>
        <w:bottom w:val="none" w:sz="0" w:space="0" w:color="auto"/>
        <w:right w:val="none" w:sz="0" w:space="0" w:color="auto"/>
      </w:divBdr>
    </w:div>
    <w:div w:id="1966766321">
      <w:bodyDiv w:val="1"/>
      <w:marLeft w:val="0"/>
      <w:marRight w:val="0"/>
      <w:marTop w:val="0"/>
      <w:marBottom w:val="0"/>
      <w:divBdr>
        <w:top w:val="none" w:sz="0" w:space="0" w:color="auto"/>
        <w:left w:val="none" w:sz="0" w:space="0" w:color="auto"/>
        <w:bottom w:val="none" w:sz="0" w:space="0" w:color="auto"/>
        <w:right w:val="none" w:sz="0" w:space="0" w:color="auto"/>
      </w:divBdr>
    </w:div>
    <w:div w:id="209947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14</Pages>
  <Words>4655</Words>
  <Characters>26536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grove</dc:creator>
  <cp:keywords/>
  <dc:description/>
  <cp:lastModifiedBy>hugh grove</cp:lastModifiedBy>
  <cp:revision>41</cp:revision>
  <cp:lastPrinted>2014-02-05T04:55:00Z</cp:lastPrinted>
  <dcterms:created xsi:type="dcterms:W3CDTF">2014-02-01T18:09:00Z</dcterms:created>
  <dcterms:modified xsi:type="dcterms:W3CDTF">2014-02-05T05:08:00Z</dcterms:modified>
</cp:coreProperties>
</file>